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F13A" w14:textId="77777777" w:rsidR="008F47DC" w:rsidRPr="00F77508" w:rsidRDefault="008F47DC" w:rsidP="008F47DC">
      <w:pPr>
        <w:pStyle w:val="NoSpacing"/>
        <w:rPr>
          <w:rFonts w:ascii="Metropolis" w:hAnsi="Metropolis"/>
        </w:rPr>
      </w:pPr>
    </w:p>
    <w:p w14:paraId="693B0074" w14:textId="77777777" w:rsidR="008F47DC" w:rsidRPr="00F77508" w:rsidRDefault="008F47DC" w:rsidP="008F47DC">
      <w:pPr>
        <w:rPr>
          <w:rFonts w:ascii="Metropolis" w:hAnsi="Metropolis"/>
          <w:noProof/>
        </w:rPr>
      </w:pPr>
    </w:p>
    <w:p w14:paraId="178D5FCC" w14:textId="77777777" w:rsidR="008F47DC" w:rsidRPr="00F77508" w:rsidRDefault="008F47DC" w:rsidP="008F47DC">
      <w:pPr>
        <w:kinsoku w:val="0"/>
        <w:overflowPunct w:val="0"/>
        <w:autoSpaceDE w:val="0"/>
        <w:autoSpaceDN w:val="0"/>
        <w:adjustRightInd w:val="0"/>
        <w:spacing w:before="1" w:after="0" w:line="240" w:lineRule="auto"/>
        <w:rPr>
          <w:rFonts w:ascii="Metropolis" w:hAnsi="Metropolis" w:cs="Times New Roman"/>
          <w:sz w:val="19"/>
          <w:szCs w:val="19"/>
        </w:rPr>
      </w:pPr>
    </w:p>
    <w:p w14:paraId="25A0E00A" w14:textId="77777777" w:rsidR="008F47DC" w:rsidRPr="00F77508" w:rsidRDefault="008F47DC" w:rsidP="008F47DC">
      <w:pPr>
        <w:kinsoku w:val="0"/>
        <w:overflowPunct w:val="0"/>
        <w:autoSpaceDE w:val="0"/>
        <w:autoSpaceDN w:val="0"/>
        <w:adjustRightInd w:val="0"/>
        <w:spacing w:after="0" w:line="240" w:lineRule="auto"/>
        <w:rPr>
          <w:rFonts w:ascii="Metropolis" w:hAnsi="Metropolis" w:cs="Times New Roman"/>
          <w:sz w:val="20"/>
          <w:szCs w:val="20"/>
        </w:rPr>
      </w:pPr>
    </w:p>
    <w:p w14:paraId="27BFABB0" w14:textId="77777777" w:rsidR="008F47DC" w:rsidRPr="00F77508" w:rsidRDefault="008F47DC" w:rsidP="008F47DC">
      <w:pPr>
        <w:rPr>
          <w:rFonts w:ascii="Metropolis" w:hAnsi="Metropolis"/>
          <w:noProof/>
        </w:rPr>
      </w:pPr>
    </w:p>
    <w:p w14:paraId="7F2A406C" w14:textId="77777777" w:rsidR="008F47DC" w:rsidRPr="00F77508" w:rsidRDefault="008F47DC" w:rsidP="008F47DC">
      <w:pPr>
        <w:rPr>
          <w:rFonts w:ascii="Metropolis" w:hAnsi="Metropolis"/>
          <w:noProof/>
        </w:rPr>
      </w:pPr>
    </w:p>
    <w:p w14:paraId="12F66600" w14:textId="77777777" w:rsidR="008F47DC" w:rsidRPr="00F77508" w:rsidRDefault="008F47DC" w:rsidP="008F47DC">
      <w:pPr>
        <w:rPr>
          <w:rFonts w:ascii="Metropolis" w:hAnsi="Metropolis"/>
          <w:noProof/>
        </w:rPr>
      </w:pPr>
      <w:r w:rsidRPr="00F77508">
        <w:rPr>
          <w:rFonts w:ascii="Metropolis" w:hAnsi="Metropolis"/>
          <w:noProof/>
        </w:rPr>
        <w:drawing>
          <wp:anchor distT="0" distB="0" distL="114300" distR="114300" simplePos="0" relativeHeight="251662336" behindDoc="1" locked="0" layoutInCell="1" allowOverlap="1" wp14:anchorId="029B8043" wp14:editId="22944D7A">
            <wp:simplePos x="0" y="0"/>
            <wp:positionH relativeFrom="margin">
              <wp:align>center</wp:align>
            </wp:positionH>
            <wp:positionV relativeFrom="paragraph">
              <wp:posOffset>106680</wp:posOffset>
            </wp:positionV>
            <wp:extent cx="4166234" cy="1165225"/>
            <wp:effectExtent l="0" t="0" r="6350" b="0"/>
            <wp:wrapNone/>
            <wp:docPr id="1370735877" name="Picture 137073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234"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3BDBC" w14:textId="77777777" w:rsidR="008F47DC" w:rsidRPr="00F77508" w:rsidRDefault="008F47DC" w:rsidP="008F47DC">
      <w:pPr>
        <w:rPr>
          <w:rFonts w:ascii="Metropolis" w:hAnsi="Metropolis"/>
          <w:noProof/>
        </w:rPr>
      </w:pPr>
    </w:p>
    <w:p w14:paraId="37827D76" w14:textId="77777777" w:rsidR="008F47DC" w:rsidRPr="00F77508" w:rsidRDefault="008F47DC" w:rsidP="008F47DC">
      <w:pPr>
        <w:rPr>
          <w:rFonts w:ascii="Metropolis" w:hAnsi="Metropolis"/>
          <w:noProof/>
        </w:rPr>
      </w:pPr>
    </w:p>
    <w:p w14:paraId="2413D922" w14:textId="77777777" w:rsidR="008F47DC" w:rsidRPr="00F77508" w:rsidRDefault="008F47DC" w:rsidP="008F47DC">
      <w:pPr>
        <w:rPr>
          <w:rFonts w:ascii="Metropolis" w:hAnsi="Metropolis"/>
          <w:noProof/>
        </w:rPr>
      </w:pPr>
    </w:p>
    <w:p w14:paraId="287DA8D9" w14:textId="77777777" w:rsidR="008F47DC" w:rsidRPr="00F77508" w:rsidRDefault="008F47DC" w:rsidP="008F47DC">
      <w:pPr>
        <w:rPr>
          <w:rFonts w:ascii="Metropolis" w:hAnsi="Metropolis"/>
          <w:noProof/>
        </w:rPr>
      </w:pPr>
    </w:p>
    <w:p w14:paraId="77C348D9" w14:textId="77777777" w:rsidR="008F47DC" w:rsidRPr="00F77508" w:rsidRDefault="008F47DC" w:rsidP="008F47DC">
      <w:pPr>
        <w:rPr>
          <w:rFonts w:ascii="Metropolis" w:hAnsi="Metropolis"/>
          <w:noProof/>
        </w:rPr>
      </w:pPr>
    </w:p>
    <w:p w14:paraId="19CE99A1" w14:textId="659EE2CC" w:rsidR="008F47DC" w:rsidRPr="00F77508" w:rsidRDefault="008F47DC" w:rsidP="008F47DC">
      <w:pPr>
        <w:spacing w:after="0"/>
        <w:rPr>
          <w:rFonts w:ascii="Metropolis" w:hAnsi="Metropoli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2E6D1192" wp14:editId="630D7930">
            <wp:simplePos x="0" y="0"/>
            <wp:positionH relativeFrom="column">
              <wp:posOffset>3510378</wp:posOffset>
            </wp:positionH>
            <wp:positionV relativeFrom="paragraph">
              <wp:posOffset>6867477</wp:posOffset>
            </wp:positionV>
            <wp:extent cx="552743" cy="539261"/>
            <wp:effectExtent l="0" t="0" r="0" b="0"/>
            <wp:wrapNone/>
            <wp:docPr id="1105272235" name="Picture 11052722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72235" name="Picture 1105272235"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2743" cy="539261"/>
                    </a:xfrm>
                    <a:prstGeom prst="rect">
                      <a:avLst/>
                    </a:prstGeom>
                  </pic:spPr>
                </pic:pic>
              </a:graphicData>
            </a:graphic>
            <wp14:sizeRelH relativeFrom="margin">
              <wp14:pctWidth>0</wp14:pctWidth>
            </wp14:sizeRelH>
            <wp14:sizeRelV relativeFrom="margin">
              <wp14:pctHeight>0</wp14:pctHeight>
            </wp14:sizeRelV>
          </wp:anchor>
        </w:drawing>
      </w:r>
      <w:r w:rsidR="00E67F00" w:rsidRPr="00F77508">
        <w:rPr>
          <w:rFonts w:ascii="Metropolis" w:hAnsi="Metropoli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Consolidated </w:t>
      </w:r>
      <w:r w:rsidRPr="00F77508">
        <w:rPr>
          <w:rFonts w:ascii="Metropolis" w:hAnsi="Metropoli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Surveillance Technology Usage Review</w:t>
      </w:r>
      <w:r w:rsidR="00107C03" w:rsidRPr="00F77508">
        <w:rPr>
          <w:rFonts w:ascii="Metropolis" w:hAnsi="Metropoli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r w:rsidR="00E67F00" w:rsidRPr="00F77508">
        <w:rPr>
          <w:rFonts w:ascii="Metropolis" w:hAnsi="Metropoli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C75F4E0" w14:textId="1BC7B120" w:rsidR="00E67F00"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Automatic License Plate Readers – Parking Enforcement</w:t>
      </w:r>
    </w:p>
    <w:p w14:paraId="54404217" w14:textId="56E2DC95" w:rsidR="00E67F00"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 Recording Systems</w:t>
      </w:r>
    </w:p>
    <w:p w14:paraId="40344AFD" w14:textId="583536AA" w:rsidR="00E67F00"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Situational Awareness Cameras Without Recording</w:t>
      </w:r>
    </w:p>
    <w:p w14:paraId="312DB58F" w14:textId="0C7EFF3D" w:rsidR="00E67F00"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911 Logging Recorder</w:t>
      </w:r>
    </w:p>
    <w:p w14:paraId="419B0D22" w14:textId="7F1274B7" w:rsidR="00E67F00"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Analysis Software – IBM i2 iBase</w:t>
      </w:r>
    </w:p>
    <w:p w14:paraId="25E88570" w14:textId="66C38091" w:rsidR="008F47DC" w:rsidRPr="00F77508" w:rsidRDefault="00E67F00" w:rsidP="00107C03">
      <w:pPr>
        <w:pBdr>
          <w:bottom w:val="single" w:sz="4" w:space="1" w:color="auto"/>
        </w:pBdr>
        <w:spacing w:after="0" w:line="240" w:lineRule="auto"/>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hAnsi="Metropoli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Video Recording Systems</w:t>
      </w:r>
    </w:p>
    <w:p w14:paraId="6453EC42" w14:textId="77777777" w:rsidR="008F47DC" w:rsidRPr="00F77508" w:rsidRDefault="008F47DC" w:rsidP="008F47DC">
      <w:pPr>
        <w:rPr>
          <w:rFonts w:ascii="Metropolis" w:eastAsiaTheme="majorEastAsia" w:hAnsi="Metropoli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7508">
        <w:rPr>
          <w:rFonts w:ascii="Metropolis" w:eastAsiaTheme="majorEastAsia" w:hAnsi="Metropoli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Required by Seattle Municipal Code 14.18.060</w:t>
      </w:r>
    </w:p>
    <w:p w14:paraId="49B2323E" w14:textId="24F9846A" w:rsidR="008F47DC" w:rsidRPr="00F77508" w:rsidRDefault="008F47DC">
      <w:pPr>
        <w:rPr>
          <w:rFonts w:ascii="Metropolis" w:hAnsi="Metropolis"/>
          <w:bCs/>
          <w:iCs/>
        </w:rPr>
      </w:pPr>
      <w:r w:rsidRPr="00F77508">
        <w:rPr>
          <w:rFonts w:ascii="Metropolis" w:eastAsiaTheme="majorEastAsia" w:hAnsi="Metropolis" w:cstheme="majorBidi"/>
          <w:b/>
          <w:noProof/>
          <w:color w:val="4472C4"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13E19F5D" wp14:editId="53F2CEEF">
                <wp:simplePos x="0" y="0"/>
                <wp:positionH relativeFrom="column">
                  <wp:posOffset>3538847</wp:posOffset>
                </wp:positionH>
                <wp:positionV relativeFrom="paragraph">
                  <wp:posOffset>2052188</wp:posOffset>
                </wp:positionV>
                <wp:extent cx="2360930" cy="1404620"/>
                <wp:effectExtent l="0" t="0" r="3810" b="0"/>
                <wp:wrapSquare wrapText="bothSides"/>
                <wp:docPr id="567699767" name="Text Box 567699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71F8B6" w14:textId="1ACB9F28" w:rsidR="008F47DC" w:rsidRPr="00AB1F2B" w:rsidRDefault="00642CE3" w:rsidP="008F47DC">
                            <w:pPr>
                              <w:jc w:val="right"/>
                              <w:rPr>
                                <w:rFonts w:ascii="Metropolis" w:hAnsi="Metropolis"/>
                                <w:sz w:val="26"/>
                                <w:szCs w:val="26"/>
                              </w:rPr>
                            </w:pPr>
                            <w:r>
                              <w:rPr>
                                <w:rFonts w:ascii="Metropolis" w:hAnsi="Metropolis"/>
                                <w:sz w:val="26"/>
                                <w:szCs w:val="26"/>
                              </w:rPr>
                              <w:t>December</w:t>
                            </w:r>
                            <w:r w:rsidR="005E5AA4">
                              <w:rPr>
                                <w:rFonts w:ascii="Metropolis" w:hAnsi="Metropolis"/>
                                <w:sz w:val="26"/>
                                <w:szCs w:val="26"/>
                              </w:rPr>
                              <w:t xml:space="preserve"> </w:t>
                            </w:r>
                            <w:r>
                              <w:rPr>
                                <w:rFonts w:ascii="Metropolis" w:hAnsi="Metropolis"/>
                                <w:sz w:val="26"/>
                                <w:szCs w:val="26"/>
                              </w:rPr>
                              <w:t>2024</w:t>
                            </w:r>
                          </w:p>
                          <w:p w14:paraId="665F2F1D" w14:textId="77777777" w:rsidR="008F47DC" w:rsidRPr="00AB1F2B" w:rsidRDefault="008F47DC" w:rsidP="008F47DC">
                            <w:pPr>
                              <w:jc w:val="right"/>
                              <w:rPr>
                                <w:rFonts w:ascii="Metropolis" w:hAnsi="Metropolis"/>
                                <w:sz w:val="26"/>
                                <w:szCs w:val="26"/>
                              </w:rPr>
                            </w:pPr>
                          </w:p>
                          <w:p w14:paraId="6C9F52EF"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Office of Inspector General</w:t>
                            </w:r>
                          </w:p>
                          <w:p w14:paraId="373D8E24"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City of Seattle</w:t>
                            </w:r>
                          </w:p>
                          <w:p w14:paraId="4F82C388"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PO Box 94764</w:t>
                            </w:r>
                          </w:p>
                          <w:p w14:paraId="66942B0B"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Seattle, WA 98124-7064</w:t>
                            </w:r>
                          </w:p>
                          <w:p w14:paraId="5D4441C0" w14:textId="77777777" w:rsidR="008F47DC" w:rsidRPr="00AB1F2B" w:rsidRDefault="002004A5" w:rsidP="008F47DC">
                            <w:pPr>
                              <w:spacing w:after="0"/>
                              <w:jc w:val="right"/>
                              <w:rPr>
                                <w:rFonts w:ascii="Metropolis" w:hAnsi="Metropolis"/>
                                <w:sz w:val="26"/>
                                <w:szCs w:val="26"/>
                              </w:rPr>
                            </w:pPr>
                            <w:hyperlink r:id="rId12" w:history="1">
                              <w:r w:rsidR="008F47DC" w:rsidRPr="00AB1F2B">
                                <w:rPr>
                                  <w:rStyle w:val="Hyperlink"/>
                                  <w:rFonts w:ascii="Metropolis" w:hAnsi="Metropolis"/>
                                  <w:sz w:val="26"/>
                                  <w:szCs w:val="26"/>
                                </w:rPr>
                                <w:t>oig@seattle.gov</w:t>
                              </w:r>
                            </w:hyperlink>
                          </w:p>
                          <w:p w14:paraId="1E9B4D27"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(206) 684-3663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E19F5D" id="_x0000_t202" coordsize="21600,21600" o:spt="202" path="m,l,21600r21600,l21600,xe">
                <v:stroke joinstyle="miter"/>
                <v:path gradientshapeok="t" o:connecttype="rect"/>
              </v:shapetype>
              <v:shape id="Text Box 567699767" o:spid="_x0000_s1026" type="#_x0000_t202" style="position:absolute;margin-left:278.65pt;margin-top:16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" stroked="f">
                <v:textbox style="mso-fit-shape-to-text:t">
                  <w:txbxContent>
                    <w:p w14:paraId="2371F8B6" w14:textId="1ACB9F28" w:rsidR="008F47DC" w:rsidRPr="00AB1F2B" w:rsidRDefault="00642CE3" w:rsidP="008F47DC">
                      <w:pPr>
                        <w:jc w:val="right"/>
                        <w:rPr>
                          <w:rFonts w:ascii="Metropolis" w:hAnsi="Metropolis"/>
                          <w:sz w:val="26"/>
                          <w:szCs w:val="26"/>
                        </w:rPr>
                      </w:pPr>
                      <w:r>
                        <w:rPr>
                          <w:rFonts w:ascii="Metropolis" w:hAnsi="Metropolis"/>
                          <w:sz w:val="26"/>
                          <w:szCs w:val="26"/>
                        </w:rPr>
                        <w:t>December</w:t>
                      </w:r>
                      <w:r w:rsidR="005E5AA4">
                        <w:rPr>
                          <w:rFonts w:ascii="Metropolis" w:hAnsi="Metropolis"/>
                          <w:sz w:val="26"/>
                          <w:szCs w:val="26"/>
                        </w:rPr>
                        <w:t xml:space="preserve"> </w:t>
                      </w:r>
                      <w:r>
                        <w:rPr>
                          <w:rFonts w:ascii="Metropolis" w:hAnsi="Metropolis"/>
                          <w:sz w:val="26"/>
                          <w:szCs w:val="26"/>
                        </w:rPr>
                        <w:t>2024</w:t>
                      </w:r>
                    </w:p>
                    <w:p w14:paraId="665F2F1D" w14:textId="77777777" w:rsidR="008F47DC" w:rsidRPr="00AB1F2B" w:rsidRDefault="008F47DC" w:rsidP="008F47DC">
                      <w:pPr>
                        <w:jc w:val="right"/>
                        <w:rPr>
                          <w:rFonts w:ascii="Metropolis" w:hAnsi="Metropolis"/>
                          <w:sz w:val="26"/>
                          <w:szCs w:val="26"/>
                        </w:rPr>
                      </w:pPr>
                    </w:p>
                    <w:p w14:paraId="6C9F52EF"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Office of Inspector General</w:t>
                      </w:r>
                    </w:p>
                    <w:p w14:paraId="373D8E24"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City of Seattle</w:t>
                      </w:r>
                    </w:p>
                    <w:p w14:paraId="4F82C388"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PO Box 94764</w:t>
                      </w:r>
                    </w:p>
                    <w:p w14:paraId="66942B0B"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Seattle, WA 98124-7064</w:t>
                      </w:r>
                    </w:p>
                    <w:p w14:paraId="5D4441C0" w14:textId="77777777" w:rsidR="008F47DC" w:rsidRPr="00AB1F2B" w:rsidRDefault="002004A5" w:rsidP="008F47DC">
                      <w:pPr>
                        <w:spacing w:after="0"/>
                        <w:jc w:val="right"/>
                        <w:rPr>
                          <w:rFonts w:ascii="Metropolis" w:hAnsi="Metropolis"/>
                          <w:sz w:val="26"/>
                          <w:szCs w:val="26"/>
                        </w:rPr>
                      </w:pPr>
                      <w:hyperlink r:id="rId13" w:history="1">
                        <w:r w:rsidR="008F47DC" w:rsidRPr="00AB1F2B">
                          <w:rPr>
                            <w:rStyle w:val="Hyperlink"/>
                            <w:rFonts w:ascii="Metropolis" w:hAnsi="Metropolis"/>
                            <w:sz w:val="26"/>
                            <w:szCs w:val="26"/>
                          </w:rPr>
                          <w:t>oig@seattle.gov</w:t>
                        </w:r>
                      </w:hyperlink>
                    </w:p>
                    <w:p w14:paraId="1E9B4D27" w14:textId="77777777" w:rsidR="008F47DC" w:rsidRPr="00AB1F2B" w:rsidRDefault="008F47DC" w:rsidP="008F47DC">
                      <w:pPr>
                        <w:spacing w:after="0"/>
                        <w:jc w:val="right"/>
                        <w:rPr>
                          <w:rFonts w:ascii="Metropolis" w:hAnsi="Metropolis"/>
                          <w:sz w:val="26"/>
                          <w:szCs w:val="26"/>
                        </w:rPr>
                      </w:pPr>
                      <w:r w:rsidRPr="00AB1F2B">
                        <w:rPr>
                          <w:rFonts w:ascii="Metropolis" w:hAnsi="Metropolis"/>
                          <w:sz w:val="26"/>
                          <w:szCs w:val="26"/>
                        </w:rPr>
                        <w:t>(206) 684-3663</w:t>
                      </w:r>
                    </w:p>
                  </w:txbxContent>
                </v:textbox>
                <w10:wrap type="square"/>
              </v:shape>
            </w:pict>
          </mc:Fallback>
        </mc:AlternateContent>
      </w:r>
      <w:r w:rsidRPr="00F77508">
        <w:rPr>
          <w:rFonts w:ascii="Metropolis" w:hAnsi="Metropolis"/>
        </w:rPr>
        <w:br w:type="page"/>
      </w:r>
    </w:p>
    <w:p w14:paraId="22F0B23D" w14:textId="77777777" w:rsidR="00EA170F" w:rsidRPr="00F77508" w:rsidRDefault="00EA170F" w:rsidP="00090087">
      <w:pPr>
        <w:pStyle w:val="SurvRightCol"/>
      </w:pPr>
    </w:p>
    <w:sdt>
      <w:sdtPr>
        <w:rPr>
          <w:rFonts w:ascii="Metropolis" w:eastAsiaTheme="minorEastAsia" w:hAnsi="Metropolis" w:cstheme="minorBidi"/>
          <w:color w:val="auto"/>
          <w:kern w:val="2"/>
          <w:sz w:val="22"/>
          <w:szCs w:val="22"/>
          <w14:ligatures w14:val="standardContextual"/>
        </w:rPr>
        <w:id w:val="-1019773021"/>
        <w:docPartObj>
          <w:docPartGallery w:val="Table of Contents"/>
          <w:docPartUnique/>
        </w:docPartObj>
      </w:sdtPr>
      <w:sdtEndPr>
        <w:rPr>
          <w:b/>
        </w:rPr>
      </w:sdtEndPr>
      <w:sdtContent>
        <w:p w14:paraId="443B6493" w14:textId="77777777" w:rsidR="00E22F03" w:rsidRPr="00F77508" w:rsidRDefault="00E22F03" w:rsidP="00E22F03">
          <w:pPr>
            <w:pStyle w:val="TOCHeading"/>
            <w:rPr>
              <w:rFonts w:ascii="Metropolis" w:hAnsi="Metropolis"/>
            </w:rPr>
          </w:pPr>
          <w:r w:rsidRPr="00F77508">
            <w:rPr>
              <w:rFonts w:ascii="Metropolis" w:hAnsi="Metropolis"/>
            </w:rPr>
            <w:t>Contents</w:t>
          </w:r>
        </w:p>
        <w:p w14:paraId="488A1ABD" w14:textId="73DC7DCE" w:rsidR="00F77508" w:rsidRDefault="00E22F03">
          <w:pPr>
            <w:pStyle w:val="TOC1"/>
            <w:tabs>
              <w:tab w:val="right" w:leader="dot" w:pos="9350"/>
            </w:tabs>
            <w:rPr>
              <w:rFonts w:eastAsiaTheme="minorEastAsia"/>
              <w:noProof/>
            </w:rPr>
          </w:pPr>
          <w:r w:rsidRPr="00F77508">
            <w:rPr>
              <w:rFonts w:ascii="Metropolis" w:hAnsi="Metropolis"/>
            </w:rPr>
            <w:fldChar w:fldCharType="begin"/>
          </w:r>
          <w:r w:rsidRPr="00F77508">
            <w:rPr>
              <w:rFonts w:ascii="Metropolis" w:hAnsi="Metropolis"/>
            </w:rPr>
            <w:instrText xml:space="preserve"> TOC \o "1-3" \h \z \u </w:instrText>
          </w:r>
          <w:r w:rsidRPr="00F77508">
            <w:rPr>
              <w:rFonts w:ascii="Metropolis" w:hAnsi="Metropolis"/>
            </w:rPr>
            <w:fldChar w:fldCharType="separate"/>
          </w:r>
          <w:hyperlink w:anchor="_Toc184732372" w:history="1">
            <w:r w:rsidR="00F77508" w:rsidRPr="001C6FE9">
              <w:rPr>
                <w:rStyle w:val="Hyperlink"/>
                <w:rFonts w:ascii="Metropolis" w:hAnsi="Metropolis"/>
                <w:noProof/>
              </w:rPr>
              <w:t>Purpose</w:t>
            </w:r>
            <w:r w:rsidR="00F77508">
              <w:rPr>
                <w:noProof/>
                <w:webHidden/>
              </w:rPr>
              <w:tab/>
            </w:r>
            <w:r w:rsidR="00F77508">
              <w:rPr>
                <w:noProof/>
                <w:webHidden/>
              </w:rPr>
              <w:fldChar w:fldCharType="begin"/>
            </w:r>
            <w:r w:rsidR="00F77508">
              <w:rPr>
                <w:noProof/>
                <w:webHidden/>
              </w:rPr>
              <w:instrText xml:space="preserve"> PAGEREF _Toc184732372 \h </w:instrText>
            </w:r>
            <w:r w:rsidR="00F77508">
              <w:rPr>
                <w:noProof/>
                <w:webHidden/>
              </w:rPr>
            </w:r>
            <w:r w:rsidR="00F77508">
              <w:rPr>
                <w:noProof/>
                <w:webHidden/>
              </w:rPr>
              <w:fldChar w:fldCharType="separate"/>
            </w:r>
            <w:r w:rsidR="00F77508">
              <w:rPr>
                <w:noProof/>
                <w:webHidden/>
              </w:rPr>
              <w:t>2</w:t>
            </w:r>
            <w:r w:rsidR="00F77508">
              <w:rPr>
                <w:noProof/>
                <w:webHidden/>
              </w:rPr>
              <w:fldChar w:fldCharType="end"/>
            </w:r>
          </w:hyperlink>
        </w:p>
        <w:p w14:paraId="75309CB3" w14:textId="537F15E3" w:rsidR="00F77508" w:rsidRDefault="00F77508">
          <w:pPr>
            <w:pStyle w:val="TOC1"/>
            <w:tabs>
              <w:tab w:val="right" w:leader="dot" w:pos="9350"/>
            </w:tabs>
            <w:rPr>
              <w:rFonts w:eastAsiaTheme="minorEastAsia"/>
              <w:noProof/>
            </w:rPr>
          </w:pPr>
          <w:hyperlink w:anchor="_Toc184732373" w:history="1">
            <w:r w:rsidRPr="001C6FE9">
              <w:rPr>
                <w:rStyle w:val="Hyperlink"/>
                <w:rFonts w:ascii="Metropolis" w:hAnsi="Metropolis"/>
                <w:noProof/>
              </w:rPr>
              <w:t>Consolidated Surveillance Review Methodology</w:t>
            </w:r>
            <w:r>
              <w:rPr>
                <w:noProof/>
                <w:webHidden/>
              </w:rPr>
              <w:tab/>
            </w:r>
            <w:r>
              <w:rPr>
                <w:noProof/>
                <w:webHidden/>
              </w:rPr>
              <w:fldChar w:fldCharType="begin"/>
            </w:r>
            <w:r>
              <w:rPr>
                <w:noProof/>
                <w:webHidden/>
              </w:rPr>
              <w:instrText xml:space="preserve"> PAGEREF _Toc184732373 \h </w:instrText>
            </w:r>
            <w:r>
              <w:rPr>
                <w:noProof/>
                <w:webHidden/>
              </w:rPr>
            </w:r>
            <w:r>
              <w:rPr>
                <w:noProof/>
                <w:webHidden/>
              </w:rPr>
              <w:fldChar w:fldCharType="separate"/>
            </w:r>
            <w:r>
              <w:rPr>
                <w:noProof/>
                <w:webHidden/>
              </w:rPr>
              <w:t>3</w:t>
            </w:r>
            <w:r>
              <w:rPr>
                <w:noProof/>
                <w:webHidden/>
              </w:rPr>
              <w:fldChar w:fldCharType="end"/>
            </w:r>
          </w:hyperlink>
        </w:p>
        <w:p w14:paraId="64F86946" w14:textId="03A7B0A2" w:rsidR="00F77508" w:rsidRDefault="00F77508">
          <w:pPr>
            <w:pStyle w:val="TOC1"/>
            <w:tabs>
              <w:tab w:val="right" w:leader="dot" w:pos="9350"/>
            </w:tabs>
            <w:rPr>
              <w:rFonts w:eastAsiaTheme="minorEastAsia"/>
              <w:noProof/>
            </w:rPr>
          </w:pPr>
          <w:hyperlink w:anchor="_Toc184732374" w:history="1">
            <w:r w:rsidRPr="001C6FE9">
              <w:rPr>
                <w:rStyle w:val="Hyperlink"/>
                <w:rFonts w:ascii="Metropolis" w:hAnsi="Metropolis"/>
                <w:noProof/>
              </w:rPr>
              <w:t>Automatic License Plate Readers – Parking Enforcement</w:t>
            </w:r>
            <w:r>
              <w:rPr>
                <w:noProof/>
                <w:webHidden/>
              </w:rPr>
              <w:tab/>
            </w:r>
            <w:r>
              <w:rPr>
                <w:noProof/>
                <w:webHidden/>
              </w:rPr>
              <w:fldChar w:fldCharType="begin"/>
            </w:r>
            <w:r>
              <w:rPr>
                <w:noProof/>
                <w:webHidden/>
              </w:rPr>
              <w:instrText xml:space="preserve"> PAGEREF _Toc184732374 \h </w:instrText>
            </w:r>
            <w:r>
              <w:rPr>
                <w:noProof/>
                <w:webHidden/>
              </w:rPr>
            </w:r>
            <w:r>
              <w:rPr>
                <w:noProof/>
                <w:webHidden/>
              </w:rPr>
              <w:fldChar w:fldCharType="separate"/>
            </w:r>
            <w:r>
              <w:rPr>
                <w:noProof/>
                <w:webHidden/>
              </w:rPr>
              <w:t>4</w:t>
            </w:r>
            <w:r>
              <w:rPr>
                <w:noProof/>
                <w:webHidden/>
              </w:rPr>
              <w:fldChar w:fldCharType="end"/>
            </w:r>
          </w:hyperlink>
        </w:p>
        <w:p w14:paraId="28EB9226" w14:textId="3A417483" w:rsidR="00F77508" w:rsidRDefault="00F77508">
          <w:pPr>
            <w:pStyle w:val="TOC1"/>
            <w:tabs>
              <w:tab w:val="right" w:leader="dot" w:pos="9350"/>
            </w:tabs>
            <w:rPr>
              <w:rFonts w:eastAsiaTheme="minorEastAsia"/>
              <w:noProof/>
            </w:rPr>
          </w:pPr>
          <w:hyperlink w:anchor="_Toc184732375" w:history="1">
            <w:r w:rsidRPr="001C6FE9">
              <w:rPr>
                <w:rStyle w:val="Hyperlink"/>
                <w:rFonts w:ascii="Metropolis" w:hAnsi="Metropolis"/>
                <w:noProof/>
              </w:rPr>
              <w:t>Audio Recording Systems</w:t>
            </w:r>
            <w:r>
              <w:rPr>
                <w:noProof/>
                <w:webHidden/>
              </w:rPr>
              <w:tab/>
            </w:r>
            <w:r>
              <w:rPr>
                <w:noProof/>
                <w:webHidden/>
              </w:rPr>
              <w:fldChar w:fldCharType="begin"/>
            </w:r>
            <w:r>
              <w:rPr>
                <w:noProof/>
                <w:webHidden/>
              </w:rPr>
              <w:instrText xml:space="preserve"> PAGEREF _Toc184732375 \h </w:instrText>
            </w:r>
            <w:r>
              <w:rPr>
                <w:noProof/>
                <w:webHidden/>
              </w:rPr>
            </w:r>
            <w:r>
              <w:rPr>
                <w:noProof/>
                <w:webHidden/>
              </w:rPr>
              <w:fldChar w:fldCharType="separate"/>
            </w:r>
            <w:r>
              <w:rPr>
                <w:noProof/>
                <w:webHidden/>
              </w:rPr>
              <w:t>5</w:t>
            </w:r>
            <w:r>
              <w:rPr>
                <w:noProof/>
                <w:webHidden/>
              </w:rPr>
              <w:fldChar w:fldCharType="end"/>
            </w:r>
          </w:hyperlink>
        </w:p>
        <w:p w14:paraId="70528EF9" w14:textId="5C90C8C2" w:rsidR="00F77508" w:rsidRDefault="00F77508">
          <w:pPr>
            <w:pStyle w:val="TOC1"/>
            <w:tabs>
              <w:tab w:val="right" w:leader="dot" w:pos="9350"/>
            </w:tabs>
            <w:rPr>
              <w:rFonts w:eastAsiaTheme="minorEastAsia"/>
              <w:noProof/>
            </w:rPr>
          </w:pPr>
          <w:hyperlink w:anchor="_Toc184732376" w:history="1">
            <w:r w:rsidRPr="001C6FE9">
              <w:rPr>
                <w:rStyle w:val="Hyperlink"/>
                <w:rFonts w:ascii="Metropolis" w:hAnsi="Metropolis"/>
                <w:noProof/>
              </w:rPr>
              <w:t>Situational Awareness Cameras Without Recording</w:t>
            </w:r>
            <w:r>
              <w:rPr>
                <w:noProof/>
                <w:webHidden/>
              </w:rPr>
              <w:tab/>
            </w:r>
            <w:r>
              <w:rPr>
                <w:noProof/>
                <w:webHidden/>
              </w:rPr>
              <w:fldChar w:fldCharType="begin"/>
            </w:r>
            <w:r>
              <w:rPr>
                <w:noProof/>
                <w:webHidden/>
              </w:rPr>
              <w:instrText xml:space="preserve"> PAGEREF _Toc184732376 \h </w:instrText>
            </w:r>
            <w:r>
              <w:rPr>
                <w:noProof/>
                <w:webHidden/>
              </w:rPr>
            </w:r>
            <w:r>
              <w:rPr>
                <w:noProof/>
                <w:webHidden/>
              </w:rPr>
              <w:fldChar w:fldCharType="separate"/>
            </w:r>
            <w:r>
              <w:rPr>
                <w:noProof/>
                <w:webHidden/>
              </w:rPr>
              <w:t>6</w:t>
            </w:r>
            <w:r>
              <w:rPr>
                <w:noProof/>
                <w:webHidden/>
              </w:rPr>
              <w:fldChar w:fldCharType="end"/>
            </w:r>
          </w:hyperlink>
        </w:p>
        <w:p w14:paraId="2A43D820" w14:textId="55100B17" w:rsidR="00F77508" w:rsidRDefault="00F77508">
          <w:pPr>
            <w:pStyle w:val="TOC1"/>
            <w:tabs>
              <w:tab w:val="right" w:leader="dot" w:pos="9350"/>
            </w:tabs>
            <w:rPr>
              <w:rFonts w:eastAsiaTheme="minorEastAsia"/>
              <w:noProof/>
            </w:rPr>
          </w:pPr>
          <w:hyperlink w:anchor="_Toc184732377" w:history="1">
            <w:r w:rsidRPr="001C6FE9">
              <w:rPr>
                <w:rStyle w:val="Hyperlink"/>
                <w:rFonts w:ascii="Metropolis" w:hAnsi="Metropolis"/>
                <w:noProof/>
              </w:rPr>
              <w:t>911 Logging Recorder</w:t>
            </w:r>
            <w:r>
              <w:rPr>
                <w:noProof/>
                <w:webHidden/>
              </w:rPr>
              <w:tab/>
            </w:r>
            <w:r>
              <w:rPr>
                <w:noProof/>
                <w:webHidden/>
              </w:rPr>
              <w:fldChar w:fldCharType="begin"/>
            </w:r>
            <w:r>
              <w:rPr>
                <w:noProof/>
                <w:webHidden/>
              </w:rPr>
              <w:instrText xml:space="preserve"> PAGEREF _Toc184732377 \h </w:instrText>
            </w:r>
            <w:r>
              <w:rPr>
                <w:noProof/>
                <w:webHidden/>
              </w:rPr>
            </w:r>
            <w:r>
              <w:rPr>
                <w:noProof/>
                <w:webHidden/>
              </w:rPr>
              <w:fldChar w:fldCharType="separate"/>
            </w:r>
            <w:r>
              <w:rPr>
                <w:noProof/>
                <w:webHidden/>
              </w:rPr>
              <w:t>7</w:t>
            </w:r>
            <w:r>
              <w:rPr>
                <w:noProof/>
                <w:webHidden/>
              </w:rPr>
              <w:fldChar w:fldCharType="end"/>
            </w:r>
          </w:hyperlink>
        </w:p>
        <w:p w14:paraId="07C70C3C" w14:textId="227D0822" w:rsidR="00F77508" w:rsidRDefault="00F77508">
          <w:pPr>
            <w:pStyle w:val="TOC1"/>
            <w:tabs>
              <w:tab w:val="right" w:leader="dot" w:pos="9350"/>
            </w:tabs>
            <w:rPr>
              <w:rFonts w:eastAsiaTheme="minorEastAsia"/>
              <w:noProof/>
            </w:rPr>
          </w:pPr>
          <w:hyperlink w:anchor="_Toc184732378" w:history="1">
            <w:r w:rsidRPr="001C6FE9">
              <w:rPr>
                <w:rStyle w:val="Hyperlink"/>
                <w:rFonts w:ascii="Metropolis" w:hAnsi="Metropolis"/>
                <w:noProof/>
              </w:rPr>
              <w:t>Link Analysis Software – IBM i2 iBase</w:t>
            </w:r>
            <w:r>
              <w:rPr>
                <w:noProof/>
                <w:webHidden/>
              </w:rPr>
              <w:tab/>
            </w:r>
            <w:r>
              <w:rPr>
                <w:noProof/>
                <w:webHidden/>
              </w:rPr>
              <w:fldChar w:fldCharType="begin"/>
            </w:r>
            <w:r>
              <w:rPr>
                <w:noProof/>
                <w:webHidden/>
              </w:rPr>
              <w:instrText xml:space="preserve"> PAGEREF _Toc184732378 \h </w:instrText>
            </w:r>
            <w:r>
              <w:rPr>
                <w:noProof/>
                <w:webHidden/>
              </w:rPr>
            </w:r>
            <w:r>
              <w:rPr>
                <w:noProof/>
                <w:webHidden/>
              </w:rPr>
              <w:fldChar w:fldCharType="separate"/>
            </w:r>
            <w:r>
              <w:rPr>
                <w:noProof/>
                <w:webHidden/>
              </w:rPr>
              <w:t>8</w:t>
            </w:r>
            <w:r>
              <w:rPr>
                <w:noProof/>
                <w:webHidden/>
              </w:rPr>
              <w:fldChar w:fldCharType="end"/>
            </w:r>
          </w:hyperlink>
        </w:p>
        <w:p w14:paraId="7A2D0DA5" w14:textId="54539048" w:rsidR="00F77508" w:rsidRDefault="00F77508">
          <w:pPr>
            <w:pStyle w:val="TOC1"/>
            <w:tabs>
              <w:tab w:val="right" w:leader="dot" w:pos="9350"/>
            </w:tabs>
            <w:rPr>
              <w:rFonts w:eastAsiaTheme="minorEastAsia"/>
              <w:noProof/>
            </w:rPr>
          </w:pPr>
          <w:hyperlink w:anchor="_Toc184732379" w:history="1">
            <w:r w:rsidRPr="001C6FE9">
              <w:rPr>
                <w:rStyle w:val="Hyperlink"/>
                <w:rFonts w:ascii="Metropolis" w:hAnsi="Metropolis"/>
                <w:noProof/>
              </w:rPr>
              <w:t>Video Recording Systems</w:t>
            </w:r>
            <w:r>
              <w:rPr>
                <w:noProof/>
                <w:webHidden/>
              </w:rPr>
              <w:tab/>
            </w:r>
            <w:r>
              <w:rPr>
                <w:noProof/>
                <w:webHidden/>
              </w:rPr>
              <w:fldChar w:fldCharType="begin"/>
            </w:r>
            <w:r>
              <w:rPr>
                <w:noProof/>
                <w:webHidden/>
              </w:rPr>
              <w:instrText xml:space="preserve"> PAGEREF _Toc184732379 \h </w:instrText>
            </w:r>
            <w:r>
              <w:rPr>
                <w:noProof/>
                <w:webHidden/>
              </w:rPr>
            </w:r>
            <w:r>
              <w:rPr>
                <w:noProof/>
                <w:webHidden/>
              </w:rPr>
              <w:fldChar w:fldCharType="separate"/>
            </w:r>
            <w:r>
              <w:rPr>
                <w:noProof/>
                <w:webHidden/>
              </w:rPr>
              <w:t>9</w:t>
            </w:r>
            <w:r>
              <w:rPr>
                <w:noProof/>
                <w:webHidden/>
              </w:rPr>
              <w:fldChar w:fldCharType="end"/>
            </w:r>
          </w:hyperlink>
        </w:p>
        <w:p w14:paraId="58484E3C" w14:textId="2D716775" w:rsidR="00E22F03" w:rsidRPr="00F77508" w:rsidRDefault="00E22F03" w:rsidP="00E22F03">
          <w:pPr>
            <w:rPr>
              <w:rFonts w:ascii="Metropolis" w:hAnsi="Metropolis"/>
            </w:rPr>
          </w:pPr>
          <w:r w:rsidRPr="00F77508">
            <w:rPr>
              <w:rFonts w:ascii="Metropolis" w:hAnsi="Metropolis"/>
              <w:b/>
              <w:bCs/>
              <w:noProof/>
            </w:rPr>
            <w:fldChar w:fldCharType="end"/>
          </w:r>
        </w:p>
      </w:sdtContent>
    </w:sdt>
    <w:p w14:paraId="68EE40F7" w14:textId="77777777" w:rsidR="00E22F03" w:rsidRPr="00F77508" w:rsidRDefault="00E22F03" w:rsidP="00E22F03">
      <w:pPr>
        <w:pStyle w:val="Heading1"/>
        <w:rPr>
          <w:rFonts w:ascii="Metropolis" w:hAnsi="Metropolis"/>
        </w:rPr>
      </w:pPr>
      <w:bookmarkStart w:id="0" w:name="_Toc184732372"/>
      <w:r w:rsidRPr="00F77508">
        <w:rPr>
          <w:rFonts w:ascii="Metropolis" w:hAnsi="Metropolis"/>
        </w:rPr>
        <w:t>Purpose</w:t>
      </w:r>
      <w:bookmarkEnd w:id="0"/>
    </w:p>
    <w:p w14:paraId="173F3686" w14:textId="77777777" w:rsidR="00E22F03" w:rsidRPr="00F77508" w:rsidRDefault="00E22F03" w:rsidP="00E22F03">
      <w:pPr>
        <w:rPr>
          <w:rFonts w:ascii="Metropolis" w:hAnsi="Metropolis"/>
        </w:rPr>
      </w:pPr>
      <w:r w:rsidRPr="00F77508">
        <w:rPr>
          <w:rFonts w:ascii="Metropolis" w:hAnsi="Metropolis"/>
        </w:rPr>
        <w:t xml:space="preserve">Seattle Municipal Code 14.18 governs the process through which City departments acquire surveillance technologies. Chapter 14.18.060 requires OIG to conduct annual reviews of the Seattle Police Department’s (SPD) use of surveillance technologies, focusing on six areas: </w:t>
      </w:r>
    </w:p>
    <w:p w14:paraId="6F1B70A5"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Technology Use – frequency and usage patterns</w:t>
      </w:r>
    </w:p>
    <w:p w14:paraId="0ABD4C1A"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 xml:space="preserve">Data Sharing – the frequency and patterns of data sharing </w:t>
      </w:r>
    </w:p>
    <w:p w14:paraId="1B1D3320"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Data Security – how well SPD safeguards individual information</w:t>
      </w:r>
    </w:p>
    <w:p w14:paraId="4A3F1682"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Potential Civil Liberties Impacts – real or possible impacts to civil liberties and any disproportionate impacts on disadvantaged populations</w:t>
      </w:r>
    </w:p>
    <w:p w14:paraId="714F68CB"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Internal Assessments – any internal audits, new concerns registered by community members, or complaints made to the Office of Police Accountability (OPA) about the surveillance technology</w:t>
      </w:r>
    </w:p>
    <w:p w14:paraId="0E741F59" w14:textId="77777777" w:rsidR="00E22F03" w:rsidRPr="00F77508" w:rsidRDefault="00E22F03" w:rsidP="00E22F03">
      <w:pPr>
        <w:pStyle w:val="ListParagraph"/>
        <w:numPr>
          <w:ilvl w:val="0"/>
          <w:numId w:val="4"/>
        </w:numPr>
        <w:rPr>
          <w:rFonts w:ascii="Metropolis" w:hAnsi="Metropolis"/>
        </w:rPr>
      </w:pPr>
      <w:r w:rsidRPr="00F77508">
        <w:rPr>
          <w:rFonts w:ascii="Metropolis" w:hAnsi="Metropolis"/>
        </w:rPr>
        <w:t>Annual Costs</w:t>
      </w:r>
    </w:p>
    <w:p w14:paraId="17E34684" w14:textId="77777777" w:rsidR="00E22F03" w:rsidRPr="00F77508" w:rsidRDefault="00E22F03" w:rsidP="00E22F03">
      <w:pPr>
        <w:rPr>
          <w:rFonts w:ascii="Metropolis" w:hAnsi="Metropolis"/>
        </w:rPr>
      </w:pPr>
      <w:r w:rsidRPr="00F77508">
        <w:rPr>
          <w:rFonts w:ascii="Metropolis" w:hAnsi="Metropolis"/>
        </w:rPr>
        <w:t>At the start of 2023, SPD had 16 technologies the City considered to be surveillance. In order to balance the workload with current resources, OIG designated two levels of reporting based on a given technology’s risk</w:t>
      </w:r>
      <w:r w:rsidRPr="00F77508" w:rsidDel="00131DA4">
        <w:rPr>
          <w:rFonts w:ascii="Metropolis" w:hAnsi="Metropolis"/>
        </w:rPr>
        <w:t>:</w:t>
      </w:r>
    </w:p>
    <w:p w14:paraId="0514FDBD" w14:textId="77777777" w:rsidR="00E22F03" w:rsidRPr="00F77508" w:rsidRDefault="00E22F03" w:rsidP="00E22F03">
      <w:pPr>
        <w:pStyle w:val="ListParagraph"/>
        <w:numPr>
          <w:ilvl w:val="0"/>
          <w:numId w:val="2"/>
        </w:numPr>
        <w:rPr>
          <w:rFonts w:ascii="Metropolis" w:hAnsi="Metropolis"/>
        </w:rPr>
      </w:pPr>
      <w:r w:rsidRPr="00F77508">
        <w:rPr>
          <w:rFonts w:ascii="Metropolis" w:hAnsi="Metropolis"/>
          <w:b/>
        </w:rPr>
        <w:t>Individual Surveillance Reviews</w:t>
      </w:r>
      <w:r w:rsidRPr="00F77508">
        <w:rPr>
          <w:rFonts w:ascii="Metropolis" w:hAnsi="Metropolis"/>
        </w:rPr>
        <w:t xml:space="preserve">: New technologies or those with higher risk are evaluated through compliance reviews, which establish tests for compliance with internal policies, local/state laws, or a technology’s Surveillance Impact Report (SIR), which is published by SPD. </w:t>
      </w:r>
    </w:p>
    <w:p w14:paraId="1156EF97" w14:textId="77777777" w:rsidR="00E22F03" w:rsidRPr="00F77508" w:rsidRDefault="00E22F03" w:rsidP="00E22F03">
      <w:pPr>
        <w:pStyle w:val="ListParagraph"/>
        <w:numPr>
          <w:ilvl w:val="0"/>
          <w:numId w:val="3"/>
        </w:numPr>
        <w:rPr>
          <w:rFonts w:ascii="Metropolis" w:hAnsi="Metropolis"/>
        </w:rPr>
      </w:pPr>
      <w:r w:rsidRPr="00F77508">
        <w:rPr>
          <w:rFonts w:ascii="Metropolis" w:hAnsi="Metropolis"/>
          <w:b/>
        </w:rPr>
        <w:t>Consolidated Surveillance Review</w:t>
      </w:r>
      <w:r w:rsidRPr="00F77508">
        <w:rPr>
          <w:rFonts w:ascii="Metropolis" w:hAnsi="Metropolis"/>
        </w:rPr>
        <w:t>: Technologies that</w:t>
      </w:r>
      <w:r w:rsidRPr="00F77508" w:rsidDel="004A3A1D">
        <w:rPr>
          <w:rFonts w:ascii="Metropolis" w:hAnsi="Metropolis"/>
        </w:rPr>
        <w:t xml:space="preserve"> </w:t>
      </w:r>
      <w:r w:rsidRPr="00F77508">
        <w:rPr>
          <w:rFonts w:ascii="Metropolis" w:hAnsi="Metropolis"/>
        </w:rPr>
        <w:t>OIG has previously reviewed and carry lower risk are assessed through a survey</w:t>
      </w:r>
      <w:r w:rsidRPr="00F77508" w:rsidDel="004A3A1D">
        <w:rPr>
          <w:rFonts w:ascii="Metropolis" w:hAnsi="Metropolis"/>
        </w:rPr>
        <w:t xml:space="preserve"> </w:t>
      </w:r>
      <w:r w:rsidRPr="00F77508">
        <w:rPr>
          <w:rFonts w:ascii="Metropolis" w:hAnsi="Metropolis"/>
        </w:rPr>
        <w:t>and combined in a single report.</w:t>
      </w:r>
    </w:p>
    <w:p w14:paraId="4F32229C" w14:textId="77777777" w:rsidR="00E22F03" w:rsidRPr="00F77508" w:rsidRDefault="00E22F03" w:rsidP="00E22F03">
      <w:pPr>
        <w:rPr>
          <w:rFonts w:ascii="Metropolis" w:eastAsiaTheme="majorEastAsia" w:hAnsi="Metropolis" w:cstheme="majorBidi"/>
          <w:color w:val="2F5496" w:themeColor="accent1" w:themeShade="BF"/>
          <w:sz w:val="32"/>
          <w:szCs w:val="32"/>
        </w:rPr>
      </w:pPr>
      <w:r w:rsidRPr="00F77508">
        <w:rPr>
          <w:rFonts w:ascii="Metropolis" w:hAnsi="Metropolis"/>
        </w:rPr>
        <w:br w:type="page"/>
      </w:r>
    </w:p>
    <w:p w14:paraId="5166A1B3" w14:textId="77777777" w:rsidR="00E22F03" w:rsidRPr="00F77508" w:rsidRDefault="00E22F03" w:rsidP="00E22F03">
      <w:pPr>
        <w:pStyle w:val="Heading1"/>
        <w:rPr>
          <w:rFonts w:ascii="Metropolis" w:hAnsi="Metropolis"/>
        </w:rPr>
      </w:pPr>
      <w:bookmarkStart w:id="1" w:name="_Toc184732373"/>
      <w:r w:rsidRPr="00F77508">
        <w:rPr>
          <w:rFonts w:ascii="Metropolis" w:hAnsi="Metropolis"/>
        </w:rPr>
        <w:lastRenderedPageBreak/>
        <w:t>Consolidated Surveillance Review Methodology</w:t>
      </w:r>
      <w:bookmarkEnd w:id="1"/>
    </w:p>
    <w:p w14:paraId="69562080" w14:textId="77777777" w:rsidR="00E22F03" w:rsidRPr="00F77508" w:rsidRDefault="00E22F03" w:rsidP="00E22F03">
      <w:pPr>
        <w:rPr>
          <w:rFonts w:ascii="Metropolis" w:hAnsi="Metropolis"/>
        </w:rPr>
      </w:pPr>
      <w:r w:rsidRPr="00F77508">
        <w:rPr>
          <w:rFonts w:ascii="Metropolis" w:hAnsi="Metropolis"/>
        </w:rPr>
        <w:t>This report is a consolidated surveillance review comprising the following six technologies:</w:t>
      </w:r>
    </w:p>
    <w:p w14:paraId="2829AB7D"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Automatic License Plate Readers (ALPR) – Parking Enforcement (PE)</w:t>
      </w:r>
    </w:p>
    <w:p w14:paraId="61A49DD8"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Audio Recording Devices</w:t>
      </w:r>
    </w:p>
    <w:p w14:paraId="03485398"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Situational Awareness Cameras Without Recording</w:t>
      </w:r>
    </w:p>
    <w:p w14:paraId="08BBA5D2"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911 Logging Recorder*</w:t>
      </w:r>
    </w:p>
    <w:p w14:paraId="21D5143A"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Link Analysis Software – IBM i2 iBase*</w:t>
      </w:r>
    </w:p>
    <w:p w14:paraId="0675C29E" w14:textId="77777777" w:rsidR="00E22F03" w:rsidRPr="00F77508" w:rsidRDefault="00E22F03" w:rsidP="00E22F03">
      <w:pPr>
        <w:pStyle w:val="ListParagraph"/>
        <w:numPr>
          <w:ilvl w:val="0"/>
          <w:numId w:val="1"/>
        </w:numPr>
        <w:rPr>
          <w:rFonts w:ascii="Metropolis" w:hAnsi="Metropolis"/>
        </w:rPr>
      </w:pPr>
      <w:r w:rsidRPr="00F77508">
        <w:rPr>
          <w:rFonts w:ascii="Metropolis" w:hAnsi="Metropolis"/>
        </w:rPr>
        <w:t>Video Recording Systems*</w:t>
      </w:r>
    </w:p>
    <w:p w14:paraId="6EB7CB8C" w14:textId="77777777" w:rsidR="00E22F03" w:rsidRPr="00F77508" w:rsidRDefault="00E22F03" w:rsidP="00E22F03">
      <w:pPr>
        <w:rPr>
          <w:rFonts w:ascii="Metropolis" w:hAnsi="Metropolis"/>
        </w:rPr>
      </w:pPr>
      <w:r w:rsidRPr="00F77508">
        <w:rPr>
          <w:rFonts w:ascii="Metropolis" w:hAnsi="Metropolis"/>
        </w:rPr>
        <w:t>Three surveillance technologies on this list are marked with asterisks. In September 2024, they were re-classified and no longer implicate SMC 14.18. As a result, this will be the final review for those three technologies. Outstanding recommendations from prior Annual Usage Reviews of re-classified technologies will be closed. The other three technologies will continue to be evaluated annually.</w:t>
      </w:r>
    </w:p>
    <w:p w14:paraId="1C08BF7F" w14:textId="77777777" w:rsidR="00E22F03" w:rsidRPr="00F77508" w:rsidRDefault="00E22F03" w:rsidP="00E22F03">
      <w:pPr>
        <w:rPr>
          <w:rFonts w:ascii="Metropolis" w:hAnsi="Metropolis"/>
        </w:rPr>
      </w:pPr>
      <w:r w:rsidRPr="00F77508">
        <w:rPr>
          <w:rFonts w:ascii="Metropolis" w:hAnsi="Metropolis"/>
        </w:rPr>
        <w:t xml:space="preserve">To inform this consolidated review, OIG formed a standard assessment consisting of 27 questions pertaining to technical capabilities, policies and procedures, and current use of each technology. Some questions were submitted to subject matter experts at SPD who provided the most up-to-date information on usage. Statements provided by SPD for technologies in the consolidated review were not verified by OIG but were consistent with OIG’s understanding of the technologies and prior findings. </w:t>
      </w:r>
    </w:p>
    <w:p w14:paraId="16A73026"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26EEE072" w14:textId="77777777" w:rsidR="00E22F03" w:rsidRPr="00F77508" w:rsidRDefault="00E22F03" w:rsidP="00E22F03">
      <w:pPr>
        <w:pStyle w:val="Heading1"/>
        <w:rPr>
          <w:rFonts w:ascii="Metropolis" w:hAnsi="Metropolis"/>
        </w:rPr>
      </w:pPr>
      <w:bookmarkStart w:id="2" w:name="_Toc184732374"/>
      <w:r w:rsidRPr="00F77508">
        <w:rPr>
          <w:rFonts w:ascii="Metropolis" w:hAnsi="Metropolis"/>
        </w:rPr>
        <w:lastRenderedPageBreak/>
        <w:t>Automatic License Plate Readers – Parking Enforcement</w:t>
      </w:r>
      <w:bookmarkEnd w:id="2"/>
    </w:p>
    <w:p w14:paraId="3525498F" w14:textId="77777777" w:rsidR="00E22F03" w:rsidRPr="00F77508" w:rsidRDefault="00E22F03" w:rsidP="00E22F03">
      <w:pPr>
        <w:rPr>
          <w:rFonts w:ascii="Metropolis" w:hAnsi="Metropolis"/>
        </w:rPr>
      </w:pPr>
      <w:r w:rsidRPr="00F77508">
        <w:rPr>
          <w:rFonts w:ascii="Metropolis" w:hAnsi="Metropolis"/>
        </w:rPr>
        <w:t>The Automated License Plate Reader (ALPR) surveillance technology is a high definition, infrared digital camera system installed in eight Parking Enforcement vehicles.</w:t>
      </w:r>
      <w:r w:rsidRPr="00F77508">
        <w:rPr>
          <w:rStyle w:val="FootnoteReference"/>
          <w:rFonts w:ascii="Metropolis" w:hAnsi="Metropolis"/>
        </w:rPr>
        <w:footnoteReference w:id="1"/>
      </w:r>
      <w:r w:rsidRPr="00F77508">
        <w:rPr>
          <w:rFonts w:ascii="Metropolis" w:hAnsi="Metropolis"/>
        </w:rPr>
        <w:t xml:space="preserve"> Parking Enforcement – a division of SPD – uses their ALPR systems to identify parking and scofflaw violations. Parking Enforcement management reported no significant changes to their use of ALPRs. The following is a summary of some considerations in assessing this technology:</w:t>
      </w:r>
    </w:p>
    <w:p w14:paraId="7283CC1C"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00233696" wp14:editId="445CB1C6">
            <wp:extent cx="5875655" cy="4309110"/>
            <wp:effectExtent l="0" t="0" r="86995" b="53340"/>
            <wp:docPr id="54088173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53A5438"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69BDC088" w14:textId="77777777" w:rsidR="00E22F03" w:rsidRPr="00F77508" w:rsidRDefault="00E22F03" w:rsidP="00E22F03">
      <w:pPr>
        <w:pStyle w:val="Heading1"/>
        <w:rPr>
          <w:rFonts w:ascii="Metropolis" w:hAnsi="Metropolis"/>
        </w:rPr>
      </w:pPr>
      <w:bookmarkStart w:id="3" w:name="_Toc184732375"/>
      <w:r w:rsidRPr="00F77508">
        <w:rPr>
          <w:rFonts w:ascii="Metropolis" w:hAnsi="Metropolis"/>
        </w:rPr>
        <w:lastRenderedPageBreak/>
        <w:t>Audio Recording Systems</w:t>
      </w:r>
      <w:bookmarkEnd w:id="3"/>
    </w:p>
    <w:p w14:paraId="2F901998" w14:textId="77777777" w:rsidR="00E22F03" w:rsidRPr="00F77508" w:rsidRDefault="00E22F03" w:rsidP="00E22F03">
      <w:pPr>
        <w:rPr>
          <w:rFonts w:ascii="Metropolis" w:hAnsi="Metropolis"/>
        </w:rPr>
      </w:pPr>
      <w:r w:rsidRPr="00F77508">
        <w:rPr>
          <w:rFonts w:ascii="Metropolis" w:hAnsi="Metropolis"/>
        </w:rPr>
        <w:t>Audio Recording Systems are covert physical devices used to obtain information in criminal investigations.</w:t>
      </w:r>
      <w:r w:rsidRPr="00F77508">
        <w:rPr>
          <w:rStyle w:val="FootnoteReference"/>
          <w:rFonts w:ascii="Metropolis" w:hAnsi="Metropolis"/>
        </w:rPr>
        <w:footnoteReference w:id="2"/>
      </w:r>
      <w:r w:rsidRPr="00F77508">
        <w:rPr>
          <w:rFonts w:ascii="Metropolis" w:hAnsi="Metropolis"/>
        </w:rPr>
        <w:t xml:space="preserve"> The Technical &amp; Electronic Support Unit manages these devices and oversees requests to use them. Requests to use this surveillance technology must adhere to the Washington Privacy Act, Chapter 9.73, which requires two-party consent. Two-party consent to record can be satisfied with a warrant approving the collection of audio. Once approved, an Audio Recording System may be deployed on a person, concealed in a space, or disguised within/on objects to capture audio of conversations between identifiable individuals. In almost all cases, at least one participant – the suspect – is unaware of the recording. TESU personnel reported no significant changes to their use of Audio Recording Systems. The following is a summary of some considerations in assessing this technology:</w:t>
      </w:r>
    </w:p>
    <w:p w14:paraId="46329D2E"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15D427A1" wp14:editId="53DF00ED">
            <wp:extent cx="5532120" cy="3939540"/>
            <wp:effectExtent l="38100" t="0" r="87630" b="60960"/>
            <wp:docPr id="156826383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EC4DA0F"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00EE3DF5" w14:textId="77777777" w:rsidR="00E22F03" w:rsidRPr="00F77508" w:rsidRDefault="00E22F03" w:rsidP="00E22F03">
      <w:pPr>
        <w:pStyle w:val="Heading1"/>
        <w:rPr>
          <w:rFonts w:ascii="Metropolis" w:hAnsi="Metropolis"/>
        </w:rPr>
      </w:pPr>
      <w:bookmarkStart w:id="4" w:name="_Toc184732376"/>
      <w:r w:rsidRPr="00F77508">
        <w:rPr>
          <w:rFonts w:ascii="Metropolis" w:hAnsi="Metropolis"/>
        </w:rPr>
        <w:lastRenderedPageBreak/>
        <w:t>Situational Awareness Cameras Without Recording</w:t>
      </w:r>
      <w:bookmarkEnd w:id="4"/>
    </w:p>
    <w:p w14:paraId="4ECB7E93" w14:textId="77777777" w:rsidR="00E22F03" w:rsidRPr="00F77508" w:rsidRDefault="00E22F03" w:rsidP="00E22F03">
      <w:pPr>
        <w:rPr>
          <w:rFonts w:ascii="Metropolis" w:hAnsi="Metropolis"/>
        </w:rPr>
      </w:pPr>
      <w:r w:rsidRPr="00F77508">
        <w:rPr>
          <w:rFonts w:ascii="Metropolis" w:hAnsi="Metropolis"/>
        </w:rPr>
        <w:t>Special Weapons and Tactics (SWAT) temporarily deploys these Situational Awareness Cameras Without Recording to view surroundings and gain additional information prior to entering a location.</w:t>
      </w:r>
      <w:r w:rsidRPr="00F77508">
        <w:rPr>
          <w:rStyle w:val="FootnoteReference"/>
          <w:rFonts w:ascii="Metropolis" w:hAnsi="Metropolis"/>
        </w:rPr>
        <w:footnoteReference w:id="3"/>
      </w:r>
      <w:r w:rsidRPr="00F77508">
        <w:rPr>
          <w:rFonts w:ascii="Metropolis" w:hAnsi="Metropolis"/>
        </w:rPr>
        <w:t xml:space="preserve"> This deployment method provides additional safety and security to SPD personnel, the subjects of the observation, and other members of the community. SWAT owns several different types of cameras, which are specialized for different uses. SWAT personnel deploy these cameras in dangerous situations, such as warrant service or armed and barricaded subjects. SWAT personnel reported no significant changes to their use of Situational Awareness Cameras Without Recording. The following is a summary of some considerations in assessing this technology: </w:t>
      </w:r>
    </w:p>
    <w:p w14:paraId="6FC3AB70"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4EEE3C9F" wp14:editId="5A363355">
            <wp:extent cx="5532120" cy="3939540"/>
            <wp:effectExtent l="38100" t="0" r="87630" b="60960"/>
            <wp:docPr id="118311160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094CB6B"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274C98B8" w14:textId="77777777" w:rsidR="00E22F03" w:rsidRPr="00F77508" w:rsidRDefault="00E22F03" w:rsidP="00E22F03">
      <w:pPr>
        <w:pStyle w:val="Heading1"/>
        <w:rPr>
          <w:rFonts w:ascii="Metropolis" w:hAnsi="Metropolis"/>
        </w:rPr>
      </w:pPr>
      <w:bookmarkStart w:id="5" w:name="_Toc184732377"/>
      <w:r w:rsidRPr="00F77508">
        <w:rPr>
          <w:rFonts w:ascii="Metropolis" w:hAnsi="Metropolis"/>
        </w:rPr>
        <w:lastRenderedPageBreak/>
        <w:t>911 Logging Recorder</w:t>
      </w:r>
      <w:bookmarkEnd w:id="5"/>
    </w:p>
    <w:p w14:paraId="408BA44F" w14:textId="77777777" w:rsidR="00E22F03" w:rsidRPr="00F77508" w:rsidRDefault="00E22F03" w:rsidP="00E22F03">
      <w:pPr>
        <w:rPr>
          <w:rFonts w:ascii="Metropolis" w:hAnsi="Metropolis"/>
        </w:rPr>
      </w:pPr>
      <w:r w:rsidRPr="00F77508">
        <w:rPr>
          <w:rFonts w:ascii="Metropolis" w:hAnsi="Metropolis"/>
        </w:rPr>
        <w:t>The NICE Systems 911 Logging Recorder is an application that automatically records 911 and non-emergency telephone calls and police radio traffic for evidentiary and public disclosure purposes.</w:t>
      </w:r>
      <w:r w:rsidRPr="00F77508">
        <w:rPr>
          <w:rStyle w:val="FootnoteReference"/>
          <w:rFonts w:ascii="Metropolis" w:hAnsi="Metropolis"/>
        </w:rPr>
        <w:footnoteReference w:id="4"/>
      </w:r>
      <w:r w:rsidRPr="00F77508">
        <w:rPr>
          <w:rFonts w:ascii="Metropolis" w:hAnsi="Metropolis"/>
        </w:rPr>
        <w:t xml:space="preserve"> Personnel from the Community Assisted Response &amp; Engagement Department (CARE) use the NICE System every day to manage emergency and non-emergency requests for service, to dispatch emergency services, and communicate with other agencies (such as Washington State Patrol or King County Sheriff’s Office). CARE personnel report that their office receives several hundred thousand requests for service annually, and they report no significant changes to their use of this technology. As of September 2024, this technology no longer implicates SMC 14.18. The following is a summary of some considerations in assessing this technology:</w:t>
      </w:r>
    </w:p>
    <w:p w14:paraId="482B3FE4"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0AEABEB0" wp14:editId="2FCB22B5">
            <wp:extent cx="5532120" cy="3939540"/>
            <wp:effectExtent l="38100" t="0" r="87630" b="60960"/>
            <wp:docPr id="107960749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E3EFBD3"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114F9A02" w14:textId="77777777" w:rsidR="00E22F03" w:rsidRPr="00F77508" w:rsidRDefault="00E22F03" w:rsidP="00E22F03">
      <w:pPr>
        <w:pStyle w:val="Heading1"/>
        <w:rPr>
          <w:rFonts w:ascii="Metropolis" w:hAnsi="Metropolis"/>
        </w:rPr>
      </w:pPr>
      <w:bookmarkStart w:id="6" w:name="_Toc184732378"/>
      <w:r w:rsidRPr="00F77508">
        <w:rPr>
          <w:rFonts w:ascii="Metropolis" w:hAnsi="Metropolis"/>
        </w:rPr>
        <w:lastRenderedPageBreak/>
        <w:t>Link Analysis Software – IBM i2 iBase</w:t>
      </w:r>
      <w:bookmarkEnd w:id="6"/>
    </w:p>
    <w:p w14:paraId="35D3F5BA" w14:textId="77777777" w:rsidR="00E22F03" w:rsidRPr="00F77508" w:rsidRDefault="00E22F03" w:rsidP="00E22F03">
      <w:pPr>
        <w:rPr>
          <w:rFonts w:ascii="Metropolis" w:hAnsi="Metropolis"/>
        </w:rPr>
      </w:pPr>
      <w:r w:rsidRPr="00F77508">
        <w:rPr>
          <w:rFonts w:ascii="Metropolis" w:hAnsi="Metropolis"/>
        </w:rPr>
        <w:t>i2 iBase is the back-end server software for the i2 Analyst’s Notebook application, a software system that organizes existing SPD data into visually accessible information.</w:t>
      </w:r>
      <w:r w:rsidRPr="00F77508">
        <w:rPr>
          <w:rStyle w:val="FootnoteReference"/>
          <w:rFonts w:ascii="Metropolis" w:hAnsi="Metropolis"/>
        </w:rPr>
        <w:footnoteReference w:id="5"/>
      </w:r>
      <w:r w:rsidRPr="00F77508">
        <w:rPr>
          <w:rFonts w:ascii="Metropolis" w:hAnsi="Metropolis"/>
        </w:rPr>
        <w:t xml:space="preserve"> When paired with the i2 Analyst’s Notebook, this link analysis software works as a relational database application and a visual analysis tool used by analysts within the Real-Time Crime Center (RTCC). The purpose of this technology is to capture, analyze, and display existing SPD data to assist analysts with better understanding criminal conspiracy networks, the chronology of events in a case, and the associations between victims, suspects, and locations. Generally, RTCC personnel use the technology at the request of SPD management for crime trend analyses or from detectives or case officers who wish to present complex evidence visually. RTCC personnel reported no significant changes to their use of this technology. As of September 2024, this technology no longer implicates SMC 14.18. The following is a summary of some considerations in assessing this technology:</w:t>
      </w:r>
    </w:p>
    <w:p w14:paraId="1F86A07D"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66799767" wp14:editId="0EA3AB01">
            <wp:extent cx="5532120" cy="3939540"/>
            <wp:effectExtent l="38100" t="0" r="87630" b="60960"/>
            <wp:docPr id="18469040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AC78C91" w14:textId="77777777" w:rsidR="00E22F03" w:rsidRPr="00F77508" w:rsidRDefault="00E22F03" w:rsidP="00E22F03">
      <w:pPr>
        <w:rPr>
          <w:rFonts w:ascii="Metropolis" w:eastAsiaTheme="majorEastAsia" w:hAnsi="Metropolis" w:cstheme="majorBidi"/>
          <w:color w:val="2F5496" w:themeColor="accent1" w:themeShade="BF"/>
          <w:sz w:val="26"/>
          <w:szCs w:val="26"/>
        </w:rPr>
      </w:pPr>
      <w:r w:rsidRPr="00F77508">
        <w:rPr>
          <w:rFonts w:ascii="Metropolis" w:hAnsi="Metropolis"/>
        </w:rPr>
        <w:br w:type="page"/>
      </w:r>
    </w:p>
    <w:p w14:paraId="24685026" w14:textId="77777777" w:rsidR="00E22F03" w:rsidRPr="00F77508" w:rsidRDefault="00E22F03" w:rsidP="00E22F03">
      <w:pPr>
        <w:pStyle w:val="Heading1"/>
        <w:rPr>
          <w:rFonts w:ascii="Metropolis" w:hAnsi="Metropolis"/>
        </w:rPr>
      </w:pPr>
      <w:bookmarkStart w:id="7" w:name="_Toc184732379"/>
      <w:r w:rsidRPr="00F77508">
        <w:rPr>
          <w:rFonts w:ascii="Metropolis" w:hAnsi="Metropolis"/>
        </w:rPr>
        <w:lastRenderedPageBreak/>
        <w:t>Video Recording Systems</w:t>
      </w:r>
      <w:bookmarkEnd w:id="7"/>
    </w:p>
    <w:p w14:paraId="50D7817E" w14:textId="77777777" w:rsidR="00E22F03" w:rsidRPr="00F77508" w:rsidRDefault="00E22F03" w:rsidP="00E22F03">
      <w:pPr>
        <w:rPr>
          <w:rFonts w:ascii="Metropolis" w:hAnsi="Metropolis"/>
        </w:rPr>
      </w:pPr>
      <w:r w:rsidRPr="00F77508">
        <w:rPr>
          <w:rFonts w:ascii="Metropolis" w:hAnsi="Metropolis"/>
        </w:rPr>
        <w:t>SPD uses Video Recording Systems in specific, secure locations inside of SPD facilities. Multiple different systems are used based on the facility setting: holding cells, interview rooms, and the blood-alcohol content (BAC) collection areas.</w:t>
      </w:r>
      <w:r w:rsidRPr="00F77508">
        <w:rPr>
          <w:rStyle w:val="FootnoteReference"/>
          <w:rFonts w:ascii="Metropolis" w:hAnsi="Metropolis"/>
        </w:rPr>
        <w:footnoteReference w:id="6"/>
      </w:r>
      <w:r w:rsidRPr="00F77508">
        <w:rPr>
          <w:rFonts w:ascii="Metropolis" w:hAnsi="Metropolis"/>
        </w:rPr>
        <w:t xml:space="preserve"> Each system is composed of a network of cameras that transmit video to either an on premises digital video recorder (DVR) device or to cloud storage. These systems store the most recent 60 days of recordings. Older data are automatically wiped from the device unless a detective selects and downloads recordings for permanent storage as evidence. SPD reported no significant changes to their use of this technology. As of September 2024, this technology no longer implicates SMC 14.18. The following is a summary of some considerations in assessing this technology:</w:t>
      </w:r>
    </w:p>
    <w:p w14:paraId="768FA7BF" w14:textId="77777777" w:rsidR="00E22F03" w:rsidRPr="00F77508" w:rsidRDefault="00E22F03" w:rsidP="00E22F03">
      <w:pPr>
        <w:rPr>
          <w:rFonts w:ascii="Metropolis" w:hAnsi="Metropolis"/>
        </w:rPr>
      </w:pPr>
      <w:r w:rsidRPr="00F77508">
        <w:rPr>
          <w:rFonts w:ascii="Metropolis" w:hAnsi="Metropolis"/>
          <w:noProof/>
        </w:rPr>
        <w:drawing>
          <wp:inline distT="0" distB="0" distL="0" distR="0" wp14:anchorId="0EC6145F" wp14:editId="2242209A">
            <wp:extent cx="5532120" cy="3939540"/>
            <wp:effectExtent l="38100" t="0" r="87630" b="60960"/>
            <wp:docPr id="18066287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A77972" w14:textId="00AC471B" w:rsidR="00FB0437" w:rsidRPr="00F77508" w:rsidRDefault="00FB0437" w:rsidP="00D04DEC">
      <w:pPr>
        <w:pStyle w:val="SurvRightCol"/>
      </w:pPr>
    </w:p>
    <w:sectPr w:rsidR="00FB0437" w:rsidRPr="00F77508" w:rsidSect="00251A8D">
      <w:headerReference w:type="default" r:id="rId44"/>
      <w:footerReference w:type="default" r:id="rId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2047" w14:textId="77777777" w:rsidR="00C338C4" w:rsidRDefault="00C338C4" w:rsidP="00F36D62">
      <w:pPr>
        <w:spacing w:after="0" w:line="240" w:lineRule="auto"/>
      </w:pPr>
      <w:r>
        <w:separator/>
      </w:r>
    </w:p>
  </w:endnote>
  <w:endnote w:type="continuationSeparator" w:id="0">
    <w:p w14:paraId="7F47F095" w14:textId="77777777" w:rsidR="00C338C4" w:rsidRDefault="00C338C4" w:rsidP="00F3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etropolis">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828000"/>
      <w:docPartObj>
        <w:docPartGallery w:val="Page Numbers (Bottom of Page)"/>
        <w:docPartUnique/>
      </w:docPartObj>
    </w:sdtPr>
    <w:sdtEndPr>
      <w:rPr>
        <w:rFonts w:ascii="Metropolis" w:hAnsi="Metropolis"/>
        <w:noProof/>
      </w:rPr>
    </w:sdtEndPr>
    <w:sdtContent>
      <w:p w14:paraId="24C63391" w14:textId="478C464D" w:rsidR="00426BF7" w:rsidRDefault="00426BF7">
        <w:pPr>
          <w:pStyle w:val="Footer"/>
          <w:jc w:val="center"/>
        </w:pPr>
        <w:r>
          <w:rPr>
            <w:noProof/>
          </w:rPr>
          <mc:AlternateContent>
            <mc:Choice Requires="wps">
              <w:drawing>
                <wp:inline distT="0" distB="0" distL="0" distR="0" wp14:anchorId="62085DA7" wp14:editId="30EE0064">
                  <wp:extent cx="5467350" cy="45085"/>
                  <wp:effectExtent l="9525" t="9525" r="0" b="2540"/>
                  <wp:docPr id="195979843"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DF99B91"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2B4FD3E" w14:textId="34B2B9BD" w:rsidR="00426BF7" w:rsidRPr="00426BF7" w:rsidRDefault="00426BF7">
        <w:pPr>
          <w:pStyle w:val="Footer"/>
          <w:jc w:val="center"/>
          <w:rPr>
            <w:rFonts w:ascii="Metropolis" w:hAnsi="Metropolis"/>
          </w:rPr>
        </w:pPr>
        <w:r w:rsidRPr="00426BF7">
          <w:rPr>
            <w:rFonts w:ascii="Metropolis" w:hAnsi="Metropolis"/>
          </w:rPr>
          <w:fldChar w:fldCharType="begin"/>
        </w:r>
        <w:r w:rsidRPr="00426BF7">
          <w:rPr>
            <w:rFonts w:ascii="Metropolis" w:hAnsi="Metropolis"/>
          </w:rPr>
          <w:instrText xml:space="preserve"> PAGE    \* MERGEFORMAT </w:instrText>
        </w:r>
        <w:r w:rsidRPr="00426BF7">
          <w:rPr>
            <w:rFonts w:ascii="Metropolis" w:hAnsi="Metropolis"/>
          </w:rPr>
          <w:fldChar w:fldCharType="separate"/>
        </w:r>
        <w:r w:rsidRPr="00426BF7">
          <w:rPr>
            <w:rFonts w:ascii="Metropolis" w:hAnsi="Metropolis"/>
            <w:noProof/>
          </w:rPr>
          <w:t>2</w:t>
        </w:r>
        <w:r w:rsidRPr="00426BF7">
          <w:rPr>
            <w:rFonts w:ascii="Metropolis" w:hAnsi="Metropolis"/>
            <w:noProof/>
          </w:rPr>
          <w:fldChar w:fldCharType="end"/>
        </w:r>
      </w:p>
    </w:sdtContent>
  </w:sdt>
  <w:p w14:paraId="06ABFBE9" w14:textId="77777777" w:rsidR="00426BF7" w:rsidRDefault="0042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4328" w14:textId="77777777" w:rsidR="00C338C4" w:rsidRDefault="00C338C4" w:rsidP="00F36D62">
      <w:pPr>
        <w:spacing w:after="0" w:line="240" w:lineRule="auto"/>
      </w:pPr>
      <w:r>
        <w:separator/>
      </w:r>
    </w:p>
  </w:footnote>
  <w:footnote w:type="continuationSeparator" w:id="0">
    <w:p w14:paraId="0C04BEDC" w14:textId="77777777" w:rsidR="00C338C4" w:rsidRDefault="00C338C4" w:rsidP="00F36D62">
      <w:pPr>
        <w:spacing w:after="0" w:line="240" w:lineRule="auto"/>
      </w:pPr>
      <w:r>
        <w:continuationSeparator/>
      </w:r>
    </w:p>
  </w:footnote>
  <w:footnote w:id="1">
    <w:p w14:paraId="3432946E" w14:textId="77777777" w:rsidR="00E22F03" w:rsidRDefault="00E22F03" w:rsidP="00E22F03">
      <w:pPr>
        <w:pStyle w:val="FootnoteText"/>
      </w:pPr>
      <w:r>
        <w:rPr>
          <w:rStyle w:val="FootnoteReference"/>
        </w:rPr>
        <w:footnoteRef/>
      </w:r>
      <w:r>
        <w:t xml:space="preserve"> The inaugural review of this surveillance technology can be accessed here: </w:t>
      </w:r>
      <w:hyperlink r:id="rId1" w:history="1">
        <w:r w:rsidRPr="00852032">
          <w:rPr>
            <w:rStyle w:val="Hyperlink"/>
          </w:rPr>
          <w:t>SurveillanceTechnologyUsageReview-ParkingEnforcementALPRSystems(2021and2022).pdf</w:t>
        </w:r>
      </w:hyperlink>
    </w:p>
  </w:footnote>
  <w:footnote w:id="2">
    <w:p w14:paraId="1375129C" w14:textId="77777777" w:rsidR="00E22F03" w:rsidRDefault="00E22F03" w:rsidP="00E22F03">
      <w:pPr>
        <w:pStyle w:val="FootnoteText"/>
      </w:pPr>
      <w:r>
        <w:rPr>
          <w:rStyle w:val="FootnoteReference"/>
        </w:rPr>
        <w:footnoteRef/>
      </w:r>
      <w:r>
        <w:t xml:space="preserve"> The inaugural review of this surveillance technology can be accessed here: </w:t>
      </w:r>
      <w:hyperlink r:id="rId2" w:history="1">
        <w:r w:rsidRPr="00C22BCF">
          <w:rPr>
            <w:rStyle w:val="Hyperlink"/>
          </w:rPr>
          <w:t>Surveillance Technology Usage Review – Audio Recording Systems (2022).pdf</w:t>
        </w:r>
      </w:hyperlink>
    </w:p>
  </w:footnote>
  <w:footnote w:id="3">
    <w:p w14:paraId="0D57AB90" w14:textId="77777777" w:rsidR="00E22F03" w:rsidRDefault="00E22F03" w:rsidP="00E22F03">
      <w:pPr>
        <w:pStyle w:val="FootnoteText"/>
      </w:pPr>
      <w:r>
        <w:rPr>
          <w:rStyle w:val="FootnoteReference"/>
        </w:rPr>
        <w:footnoteRef/>
      </w:r>
      <w:r>
        <w:t xml:space="preserve"> The inaugural review of this surveillance technology can be accessed here: </w:t>
      </w:r>
      <w:hyperlink r:id="rId3" w:history="1">
        <w:r w:rsidRPr="00F41D4E">
          <w:rPr>
            <w:rStyle w:val="Hyperlink"/>
          </w:rPr>
          <w:t>Surveillance Technology Usage Review_Situational Awareness Cameras Without Recording (2021 and 2022).pdf</w:t>
        </w:r>
      </w:hyperlink>
    </w:p>
  </w:footnote>
  <w:footnote w:id="4">
    <w:p w14:paraId="775D7253" w14:textId="77777777" w:rsidR="00E22F03" w:rsidRDefault="00E22F03" w:rsidP="00E22F03">
      <w:pPr>
        <w:pStyle w:val="FootnoteText"/>
      </w:pPr>
      <w:r>
        <w:rPr>
          <w:rStyle w:val="FootnoteReference"/>
        </w:rPr>
        <w:footnoteRef/>
      </w:r>
      <w:r>
        <w:t xml:space="preserve"> The inaugural review of this surveillance technology can be accessed here: </w:t>
      </w:r>
      <w:hyperlink r:id="rId4" w:history="1">
        <w:r w:rsidRPr="00C46900">
          <w:rPr>
            <w:rStyle w:val="Hyperlink"/>
          </w:rPr>
          <w:t>Surveillance Technology Usage Review - 9-1-1 Logging Recorder.pdf</w:t>
        </w:r>
      </w:hyperlink>
    </w:p>
  </w:footnote>
  <w:footnote w:id="5">
    <w:p w14:paraId="56F7D123" w14:textId="77777777" w:rsidR="00E22F03" w:rsidRDefault="00E22F03" w:rsidP="00E22F03">
      <w:pPr>
        <w:pStyle w:val="FootnoteText"/>
      </w:pPr>
      <w:r>
        <w:rPr>
          <w:rStyle w:val="FootnoteReference"/>
        </w:rPr>
        <w:footnoteRef/>
      </w:r>
      <w:r>
        <w:t xml:space="preserve"> The inaugural review of this technology can be accessed here: </w:t>
      </w:r>
      <w:hyperlink r:id="rId5" w:history="1">
        <w:r w:rsidRPr="008C6619">
          <w:rPr>
            <w:rStyle w:val="Hyperlink"/>
          </w:rPr>
          <w:t>Surveillance Technology Usage Review i2 iBase Link Analysis Software (2022)</w:t>
        </w:r>
      </w:hyperlink>
    </w:p>
  </w:footnote>
  <w:footnote w:id="6">
    <w:p w14:paraId="7C1F16A2" w14:textId="77777777" w:rsidR="00E22F03" w:rsidRDefault="00E22F03" w:rsidP="00E22F03">
      <w:pPr>
        <w:pStyle w:val="FootnoteText"/>
      </w:pPr>
      <w:r>
        <w:rPr>
          <w:rStyle w:val="FootnoteReference"/>
        </w:rPr>
        <w:footnoteRef/>
      </w:r>
      <w:r>
        <w:t xml:space="preserve"> The inaugural review of this technology can be accessed here: </w:t>
      </w:r>
      <w:hyperlink r:id="rId6" w:history="1">
        <w:r w:rsidRPr="00F00403">
          <w:rPr>
            <w:rStyle w:val="Hyperlink"/>
          </w:rPr>
          <w:t>Surveillance Technology Usage Review_Video Recording Systems (2021 and 2022).pdf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592C" w14:textId="10A58EDC" w:rsidR="00CB19BA" w:rsidRDefault="00CF32C2" w:rsidP="00CB19BA">
    <w:pPr>
      <w:pStyle w:val="Header"/>
    </w:pPr>
    <w:r>
      <w:rPr>
        <w:noProof/>
      </w:rPr>
      <mc:AlternateContent>
        <mc:Choice Requires="wps">
          <w:drawing>
            <wp:anchor distT="45720" distB="45720" distL="114300" distR="114300" simplePos="0" relativeHeight="251657728" behindDoc="0" locked="0" layoutInCell="1" allowOverlap="1" wp14:anchorId="0870B74E" wp14:editId="05967798">
              <wp:simplePos x="0" y="0"/>
              <wp:positionH relativeFrom="margin">
                <wp:posOffset>3366135</wp:posOffset>
              </wp:positionH>
              <wp:positionV relativeFrom="paragraph">
                <wp:posOffset>-100965</wp:posOffset>
              </wp:positionV>
              <wp:extent cx="267525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1404620"/>
                      </a:xfrm>
                      <a:prstGeom prst="rect">
                        <a:avLst/>
                      </a:prstGeom>
                      <a:solidFill>
                        <a:srgbClr val="FFFFFF"/>
                      </a:solidFill>
                      <a:ln w="9525">
                        <a:noFill/>
                        <a:miter lim="800000"/>
                        <a:headEnd/>
                        <a:tailEnd/>
                      </a:ln>
                    </wps:spPr>
                    <wps:txbx>
                      <w:txbxContent>
                        <w:p w14:paraId="10714CE0" w14:textId="77777777" w:rsidR="00EA498F" w:rsidRDefault="00CB19BA" w:rsidP="00EA498F">
                          <w:pPr>
                            <w:spacing w:after="0" w:line="240" w:lineRule="auto"/>
                            <w:jc w:val="right"/>
                            <w:rPr>
                              <w:rFonts w:ascii="Metropolis" w:hAnsi="Metropolis" w:cs="Open Sans"/>
                              <w:sz w:val="20"/>
                              <w:szCs w:val="20"/>
                            </w:rPr>
                          </w:pPr>
                          <w:r w:rsidRPr="00CF32C2">
                            <w:rPr>
                              <w:rFonts w:ascii="Metropolis" w:hAnsi="Metropolis" w:cs="Open Sans"/>
                              <w:sz w:val="20"/>
                              <w:szCs w:val="20"/>
                            </w:rPr>
                            <w:t xml:space="preserve">Surveillance Technology Usage </w:t>
                          </w:r>
                        </w:p>
                        <w:p w14:paraId="441918C0" w14:textId="4D960CAE" w:rsidR="00CB19BA" w:rsidRPr="00CF32C2" w:rsidRDefault="00251A8D" w:rsidP="00EA498F">
                          <w:pPr>
                            <w:spacing w:after="0" w:line="240" w:lineRule="auto"/>
                            <w:jc w:val="right"/>
                            <w:rPr>
                              <w:rFonts w:ascii="Metropolis" w:hAnsi="Metropolis" w:cs="Open Sans"/>
                              <w:sz w:val="20"/>
                              <w:szCs w:val="20"/>
                            </w:rPr>
                          </w:pPr>
                          <w:r>
                            <w:rPr>
                              <w:rFonts w:ascii="Metropolis" w:hAnsi="Metropolis" w:cs="Open Sans"/>
                              <w:sz w:val="20"/>
                              <w:szCs w:val="20"/>
                            </w:rPr>
                            <w:t>Consolidated Review,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0B74E" id="_x0000_t202" coordsize="21600,21600" o:spt="202" path="m,l,21600r21600,l21600,xe">
              <v:stroke joinstyle="miter"/>
              <v:path gradientshapeok="t" o:connecttype="rect"/>
            </v:shapetype>
            <v:shape id="Text Box 217" o:spid="_x0000_s1027" type="#_x0000_t202" style="position:absolute;margin-left:265.05pt;margin-top:-7.95pt;width:210.6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" stroked="f">
              <v:textbox style="mso-fit-shape-to-text:t">
                <w:txbxContent>
                  <w:p w14:paraId="10714CE0" w14:textId="77777777" w:rsidR="00EA498F" w:rsidRDefault="00CB19BA" w:rsidP="00EA498F">
                    <w:pPr>
                      <w:spacing w:after="0" w:line="240" w:lineRule="auto"/>
                      <w:jc w:val="right"/>
                      <w:rPr>
                        <w:rFonts w:ascii="Metropolis" w:hAnsi="Metropolis" w:cs="Open Sans"/>
                        <w:sz w:val="20"/>
                        <w:szCs w:val="20"/>
                      </w:rPr>
                    </w:pPr>
                    <w:r w:rsidRPr="00CF32C2">
                      <w:rPr>
                        <w:rFonts w:ascii="Metropolis" w:hAnsi="Metropolis" w:cs="Open Sans"/>
                        <w:sz w:val="20"/>
                        <w:szCs w:val="20"/>
                      </w:rPr>
                      <w:t xml:space="preserve">Surveillance Technology Usage </w:t>
                    </w:r>
                  </w:p>
                  <w:p w14:paraId="441918C0" w14:textId="4D960CAE" w:rsidR="00CB19BA" w:rsidRPr="00CF32C2" w:rsidRDefault="00251A8D" w:rsidP="00EA498F">
                    <w:pPr>
                      <w:spacing w:after="0" w:line="240" w:lineRule="auto"/>
                      <w:jc w:val="right"/>
                      <w:rPr>
                        <w:rFonts w:ascii="Metropolis" w:hAnsi="Metropolis" w:cs="Open Sans"/>
                        <w:sz w:val="20"/>
                        <w:szCs w:val="20"/>
                      </w:rPr>
                    </w:pPr>
                    <w:r>
                      <w:rPr>
                        <w:rFonts w:ascii="Metropolis" w:hAnsi="Metropolis" w:cs="Open Sans"/>
                        <w:sz w:val="20"/>
                        <w:szCs w:val="20"/>
                      </w:rPr>
                      <w:t>Consolidated Review, 2023</w:t>
                    </w:r>
                  </w:p>
                </w:txbxContent>
              </v:textbox>
              <w10:wrap type="square" anchorx="margin"/>
            </v:shape>
          </w:pict>
        </mc:Fallback>
      </mc:AlternateContent>
    </w:r>
    <w:r w:rsidR="00CB19BA" w:rsidRPr="00CA6D49">
      <w:rPr>
        <w:noProof/>
      </w:rPr>
      <w:drawing>
        <wp:anchor distT="0" distB="0" distL="114300" distR="114300" simplePos="0" relativeHeight="251656704" behindDoc="1" locked="0" layoutInCell="1" allowOverlap="1" wp14:anchorId="71B96A37" wp14:editId="712CB816">
          <wp:simplePos x="0" y="0"/>
          <wp:positionH relativeFrom="column">
            <wp:posOffset>-434340</wp:posOffset>
          </wp:positionH>
          <wp:positionV relativeFrom="paragraph">
            <wp:posOffset>-137160</wp:posOffset>
          </wp:positionV>
          <wp:extent cx="1798176" cy="502920"/>
          <wp:effectExtent l="0" t="0" r="0" b="0"/>
          <wp:wrapNone/>
          <wp:docPr id="1211470309" name="Picture 121147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341" cy="5054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DA4A7" w14:textId="5B7A9345" w:rsidR="00F36D62" w:rsidRDefault="00F3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AF"/>
    <w:multiLevelType w:val="hybridMultilevel"/>
    <w:tmpl w:val="23B0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82EA0"/>
    <w:multiLevelType w:val="hybridMultilevel"/>
    <w:tmpl w:val="B5ECD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94C25"/>
    <w:multiLevelType w:val="hybridMultilevel"/>
    <w:tmpl w:val="BCEE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36B89"/>
    <w:multiLevelType w:val="hybridMultilevel"/>
    <w:tmpl w:val="C2A258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152241">
    <w:abstractNumId w:val="1"/>
  </w:num>
  <w:num w:numId="2" w16cid:durableId="723942767">
    <w:abstractNumId w:val="0"/>
  </w:num>
  <w:num w:numId="3" w16cid:durableId="1683437024">
    <w:abstractNumId w:val="2"/>
  </w:num>
  <w:num w:numId="4" w16cid:durableId="183792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62"/>
    <w:rsid w:val="0000244D"/>
    <w:rsid w:val="00051FC5"/>
    <w:rsid w:val="00090087"/>
    <w:rsid w:val="000A75A6"/>
    <w:rsid w:val="00107C03"/>
    <w:rsid w:val="00122827"/>
    <w:rsid w:val="001629D1"/>
    <w:rsid w:val="001C19D7"/>
    <w:rsid w:val="001F08BF"/>
    <w:rsid w:val="002004A5"/>
    <w:rsid w:val="00251A8D"/>
    <w:rsid w:val="002F1DFC"/>
    <w:rsid w:val="0030392C"/>
    <w:rsid w:val="0030647E"/>
    <w:rsid w:val="00421A98"/>
    <w:rsid w:val="00426BF7"/>
    <w:rsid w:val="00497E3A"/>
    <w:rsid w:val="004B0827"/>
    <w:rsid w:val="004F553D"/>
    <w:rsid w:val="00545BA4"/>
    <w:rsid w:val="005605E6"/>
    <w:rsid w:val="005E5AA4"/>
    <w:rsid w:val="005F4528"/>
    <w:rsid w:val="006021DA"/>
    <w:rsid w:val="00627E95"/>
    <w:rsid w:val="00640F0A"/>
    <w:rsid w:val="00642CE3"/>
    <w:rsid w:val="00680403"/>
    <w:rsid w:val="006E1739"/>
    <w:rsid w:val="006E498C"/>
    <w:rsid w:val="0071135E"/>
    <w:rsid w:val="007149A7"/>
    <w:rsid w:val="00721F98"/>
    <w:rsid w:val="0076000F"/>
    <w:rsid w:val="007A27CE"/>
    <w:rsid w:val="007D284D"/>
    <w:rsid w:val="007F432A"/>
    <w:rsid w:val="008C2452"/>
    <w:rsid w:val="008F3B9F"/>
    <w:rsid w:val="008F47DC"/>
    <w:rsid w:val="0091693F"/>
    <w:rsid w:val="0095558E"/>
    <w:rsid w:val="00957C33"/>
    <w:rsid w:val="00975C66"/>
    <w:rsid w:val="009C10A1"/>
    <w:rsid w:val="00A13A04"/>
    <w:rsid w:val="00A70F93"/>
    <w:rsid w:val="00A8481F"/>
    <w:rsid w:val="00A95B9C"/>
    <w:rsid w:val="00AB03A5"/>
    <w:rsid w:val="00AB1F2B"/>
    <w:rsid w:val="00B20523"/>
    <w:rsid w:val="00B551C8"/>
    <w:rsid w:val="00B71652"/>
    <w:rsid w:val="00B90C73"/>
    <w:rsid w:val="00BE3F49"/>
    <w:rsid w:val="00C05475"/>
    <w:rsid w:val="00C3372A"/>
    <w:rsid w:val="00C338C4"/>
    <w:rsid w:val="00C80EBE"/>
    <w:rsid w:val="00CA6999"/>
    <w:rsid w:val="00CB19BA"/>
    <w:rsid w:val="00CF32C2"/>
    <w:rsid w:val="00D04DEC"/>
    <w:rsid w:val="00D25A82"/>
    <w:rsid w:val="00D616FD"/>
    <w:rsid w:val="00E21E30"/>
    <w:rsid w:val="00E22F03"/>
    <w:rsid w:val="00E23F6C"/>
    <w:rsid w:val="00E368E2"/>
    <w:rsid w:val="00E67F00"/>
    <w:rsid w:val="00E74343"/>
    <w:rsid w:val="00EA170F"/>
    <w:rsid w:val="00EA498F"/>
    <w:rsid w:val="00EC58C8"/>
    <w:rsid w:val="00EF13D3"/>
    <w:rsid w:val="00F32DA8"/>
    <w:rsid w:val="00F34DB0"/>
    <w:rsid w:val="00F36D62"/>
    <w:rsid w:val="00F77508"/>
    <w:rsid w:val="00FB0437"/>
    <w:rsid w:val="32A0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B8A6"/>
  <w15:chartTrackingRefBased/>
  <w15:docId w15:val="{486322F0-54CD-4CD1-9042-F6B1166D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0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G">
    <w:name w:val="OIG"/>
    <w:basedOn w:val="Normal"/>
    <w:link w:val="OIGChar"/>
    <w:autoRedefine/>
    <w:qFormat/>
    <w:rsid w:val="000A75A6"/>
    <w:pPr>
      <w:keepNext/>
      <w:keepLines/>
    </w:pPr>
    <w:rPr>
      <w:rFonts w:ascii="Open Sans" w:eastAsia="Open Sans" w:hAnsi="Open Sans" w:cs="Open Sans"/>
      <w:b/>
      <w:bCs/>
      <w:color w:val="1F3864" w:themeColor="accent1" w:themeShade="80"/>
      <w:sz w:val="36"/>
      <w:szCs w:val="36"/>
    </w:rPr>
  </w:style>
  <w:style w:type="character" w:customStyle="1" w:styleId="OIGChar">
    <w:name w:val="OIG Char"/>
    <w:basedOn w:val="DefaultParagraphFont"/>
    <w:link w:val="OIG"/>
    <w:rsid w:val="000A75A6"/>
    <w:rPr>
      <w:rFonts w:ascii="Open Sans" w:eastAsia="Open Sans" w:hAnsi="Open Sans" w:cs="Open Sans"/>
      <w:b/>
      <w:bCs/>
      <w:color w:val="1F3864" w:themeColor="accent1" w:themeShade="80"/>
      <w:sz w:val="36"/>
      <w:szCs w:val="36"/>
    </w:rPr>
  </w:style>
  <w:style w:type="paragraph" w:customStyle="1" w:styleId="OIGSurv">
    <w:name w:val="OIG Surv"/>
    <w:basedOn w:val="Heading1"/>
    <w:link w:val="OIGSurvChar"/>
    <w:autoRedefine/>
    <w:qFormat/>
    <w:rsid w:val="004B0827"/>
    <w:pPr>
      <w:shd w:val="clear" w:color="auto" w:fill="0046AD"/>
      <w:spacing w:before="240" w:after="240" w:line="480" w:lineRule="auto"/>
      <w:contextualSpacing/>
    </w:pPr>
    <w:rPr>
      <w:rFonts w:ascii="Metropolis" w:hAnsi="Metropolis" w:cs="Open Sans"/>
      <w:b/>
      <w:bCs/>
      <w:color w:val="FFFFFF" w:themeColor="background1"/>
      <w:sz w:val="24"/>
      <w:szCs w:val="24"/>
    </w:rPr>
  </w:style>
  <w:style w:type="character" w:customStyle="1" w:styleId="OIGSurvChar">
    <w:name w:val="OIG Surv Char"/>
    <w:basedOn w:val="DefaultParagraphFont"/>
    <w:link w:val="OIGSurv"/>
    <w:rsid w:val="004B0827"/>
    <w:rPr>
      <w:rFonts w:ascii="Metropolis" w:eastAsiaTheme="majorEastAsia" w:hAnsi="Metropolis" w:cs="Open Sans"/>
      <w:b/>
      <w:bCs/>
      <w:color w:val="FFFFFF" w:themeColor="background1"/>
      <w:sz w:val="24"/>
      <w:szCs w:val="24"/>
      <w:shd w:val="clear" w:color="auto" w:fill="0046AD"/>
    </w:rPr>
  </w:style>
  <w:style w:type="character" w:customStyle="1" w:styleId="Heading1Char">
    <w:name w:val="Heading 1 Char"/>
    <w:basedOn w:val="DefaultParagraphFont"/>
    <w:link w:val="Heading1"/>
    <w:uiPriority w:val="9"/>
    <w:rsid w:val="009C10A1"/>
    <w:rPr>
      <w:rFonts w:asciiTheme="majorHAnsi" w:eastAsiaTheme="majorEastAsia" w:hAnsiTheme="majorHAnsi" w:cstheme="majorBidi"/>
      <w:color w:val="2F5496" w:themeColor="accent1" w:themeShade="BF"/>
      <w:sz w:val="40"/>
      <w:szCs w:val="40"/>
    </w:rPr>
  </w:style>
  <w:style w:type="paragraph" w:styleId="TOCHeading">
    <w:name w:val="TOC Heading"/>
    <w:basedOn w:val="Heading1"/>
    <w:next w:val="Normal"/>
    <w:uiPriority w:val="39"/>
    <w:unhideWhenUsed/>
    <w:qFormat/>
    <w:rsid w:val="008C245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C2452"/>
    <w:pPr>
      <w:spacing w:after="100"/>
    </w:pPr>
  </w:style>
  <w:style w:type="paragraph" w:customStyle="1" w:styleId="SurvSubheading">
    <w:name w:val="Surv Subheading"/>
    <w:basedOn w:val="Normal"/>
    <w:link w:val="SurvSubheadingChar"/>
    <w:autoRedefine/>
    <w:qFormat/>
    <w:rsid w:val="00B71652"/>
    <w:pPr>
      <w:spacing w:before="240" w:after="0" w:line="240" w:lineRule="auto"/>
      <w:textAlignment w:val="baseline"/>
    </w:pPr>
    <w:rPr>
      <w:rFonts w:ascii="Metropolis" w:eastAsiaTheme="majorEastAsia" w:hAnsi="Metropolis" w:cs="Open Sans"/>
      <w:b/>
      <w:bCs/>
      <w:color w:val="0046AD"/>
      <w:kern w:val="0"/>
      <w:sz w:val="24"/>
      <w:szCs w:val="24"/>
      <w14:ligatures w14:val="none"/>
    </w:rPr>
  </w:style>
  <w:style w:type="character" w:customStyle="1" w:styleId="SurvSubheadingChar">
    <w:name w:val="Surv Subheading Char"/>
    <w:basedOn w:val="DefaultParagraphFont"/>
    <w:link w:val="SurvSubheading"/>
    <w:rsid w:val="00B71652"/>
    <w:rPr>
      <w:rFonts w:ascii="Metropolis" w:eastAsiaTheme="majorEastAsia" w:hAnsi="Metropolis" w:cs="Open Sans"/>
      <w:b/>
      <w:bCs/>
      <w:color w:val="0046AD"/>
      <w:kern w:val="0"/>
      <w:sz w:val="24"/>
      <w:szCs w:val="24"/>
      <w14:ligatures w14:val="none"/>
    </w:rPr>
  </w:style>
  <w:style w:type="character" w:customStyle="1" w:styleId="Heading2Char">
    <w:name w:val="Heading 2 Char"/>
    <w:basedOn w:val="DefaultParagraphFont"/>
    <w:link w:val="Heading2"/>
    <w:uiPriority w:val="9"/>
    <w:semiHidden/>
    <w:rsid w:val="00F36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62"/>
    <w:rPr>
      <w:rFonts w:eastAsiaTheme="majorEastAsia" w:cstheme="majorBidi"/>
      <w:color w:val="272727" w:themeColor="text1" w:themeTint="D8"/>
    </w:rPr>
  </w:style>
  <w:style w:type="paragraph" w:styleId="Title">
    <w:name w:val="Title"/>
    <w:basedOn w:val="Normal"/>
    <w:next w:val="Normal"/>
    <w:link w:val="TitleChar"/>
    <w:uiPriority w:val="10"/>
    <w:qFormat/>
    <w:rsid w:val="00F36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62"/>
    <w:pPr>
      <w:spacing w:before="160"/>
      <w:jc w:val="center"/>
    </w:pPr>
    <w:rPr>
      <w:i/>
      <w:iCs/>
      <w:color w:val="404040" w:themeColor="text1" w:themeTint="BF"/>
    </w:rPr>
  </w:style>
  <w:style w:type="character" w:customStyle="1" w:styleId="QuoteChar">
    <w:name w:val="Quote Char"/>
    <w:basedOn w:val="DefaultParagraphFont"/>
    <w:link w:val="Quote"/>
    <w:uiPriority w:val="29"/>
    <w:rsid w:val="00F36D62"/>
    <w:rPr>
      <w:i/>
      <w:iCs/>
      <w:color w:val="404040" w:themeColor="text1" w:themeTint="BF"/>
    </w:rPr>
  </w:style>
  <w:style w:type="paragraph" w:styleId="ListParagraph">
    <w:name w:val="List Paragraph"/>
    <w:basedOn w:val="Normal"/>
    <w:uiPriority w:val="34"/>
    <w:qFormat/>
    <w:rsid w:val="00F36D62"/>
    <w:pPr>
      <w:ind w:left="720"/>
      <w:contextualSpacing/>
    </w:pPr>
  </w:style>
  <w:style w:type="character" w:styleId="IntenseEmphasis">
    <w:name w:val="Intense Emphasis"/>
    <w:basedOn w:val="DefaultParagraphFont"/>
    <w:uiPriority w:val="21"/>
    <w:qFormat/>
    <w:rsid w:val="00F36D62"/>
    <w:rPr>
      <w:i/>
      <w:iCs/>
      <w:color w:val="2F5496" w:themeColor="accent1" w:themeShade="BF"/>
    </w:rPr>
  </w:style>
  <w:style w:type="paragraph" w:styleId="IntenseQuote">
    <w:name w:val="Intense Quote"/>
    <w:basedOn w:val="Normal"/>
    <w:next w:val="Normal"/>
    <w:link w:val="IntenseQuoteChar"/>
    <w:uiPriority w:val="30"/>
    <w:qFormat/>
    <w:rsid w:val="00F3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D62"/>
    <w:rPr>
      <w:i/>
      <w:iCs/>
      <w:color w:val="2F5496" w:themeColor="accent1" w:themeShade="BF"/>
    </w:rPr>
  </w:style>
  <w:style w:type="character" w:styleId="IntenseReference">
    <w:name w:val="Intense Reference"/>
    <w:basedOn w:val="DefaultParagraphFont"/>
    <w:uiPriority w:val="32"/>
    <w:qFormat/>
    <w:rsid w:val="00F36D62"/>
    <w:rPr>
      <w:b/>
      <w:bCs/>
      <w:smallCaps/>
      <w:color w:val="2F5496" w:themeColor="accent1" w:themeShade="BF"/>
      <w:spacing w:val="5"/>
    </w:rPr>
  </w:style>
  <w:style w:type="paragraph" w:styleId="Header">
    <w:name w:val="header"/>
    <w:basedOn w:val="Normal"/>
    <w:link w:val="HeaderChar"/>
    <w:uiPriority w:val="99"/>
    <w:unhideWhenUsed/>
    <w:rsid w:val="00F3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62"/>
  </w:style>
  <w:style w:type="paragraph" w:styleId="Footer">
    <w:name w:val="footer"/>
    <w:basedOn w:val="Normal"/>
    <w:link w:val="FooterChar"/>
    <w:uiPriority w:val="99"/>
    <w:unhideWhenUsed/>
    <w:rsid w:val="00F3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62"/>
  </w:style>
  <w:style w:type="paragraph" w:customStyle="1" w:styleId="SurvLeftCol">
    <w:name w:val="Surv Left Col"/>
    <w:basedOn w:val="Normal"/>
    <w:link w:val="SurvLeftColChar"/>
    <w:autoRedefine/>
    <w:qFormat/>
    <w:rsid w:val="00090087"/>
    <w:rPr>
      <w:rFonts w:ascii="Metropolis" w:hAnsi="Metropolis"/>
      <w:bCs/>
      <w:i/>
      <w:iCs/>
      <w:sz w:val="20"/>
    </w:rPr>
  </w:style>
  <w:style w:type="character" w:customStyle="1" w:styleId="SurvLeftColChar">
    <w:name w:val="Surv Left Col Char"/>
    <w:basedOn w:val="DefaultParagraphFont"/>
    <w:link w:val="SurvLeftCol"/>
    <w:rsid w:val="00090087"/>
    <w:rPr>
      <w:rFonts w:ascii="Metropolis" w:hAnsi="Metropolis"/>
      <w:bCs/>
      <w:i/>
      <w:iCs/>
      <w:sz w:val="20"/>
    </w:rPr>
  </w:style>
  <w:style w:type="paragraph" w:customStyle="1" w:styleId="SurvRightCol">
    <w:name w:val="Surv Right Col"/>
    <w:basedOn w:val="SurvLeftCol"/>
    <w:link w:val="SurvRightColChar"/>
    <w:autoRedefine/>
    <w:qFormat/>
    <w:rsid w:val="00090087"/>
    <w:rPr>
      <w:i w:val="0"/>
      <w:sz w:val="22"/>
    </w:rPr>
  </w:style>
  <w:style w:type="character" w:customStyle="1" w:styleId="SurvRightColChar">
    <w:name w:val="Surv Right Col Char"/>
    <w:basedOn w:val="SurvLeftColChar"/>
    <w:link w:val="SurvRightCol"/>
    <w:rsid w:val="00090087"/>
    <w:rPr>
      <w:rFonts w:ascii="Metropolis" w:hAnsi="Metropolis"/>
      <w:bCs/>
      <w:i w:val="0"/>
      <w:iCs/>
      <w:sz w:val="20"/>
    </w:rPr>
  </w:style>
  <w:style w:type="character" w:styleId="Hyperlink">
    <w:name w:val="Hyperlink"/>
    <w:basedOn w:val="DefaultParagraphFont"/>
    <w:uiPriority w:val="99"/>
    <w:unhideWhenUsed/>
    <w:rsid w:val="008F47DC"/>
    <w:rPr>
      <w:color w:val="0563C1" w:themeColor="hyperlink"/>
      <w:u w:val="single"/>
    </w:rPr>
  </w:style>
  <w:style w:type="paragraph" w:styleId="NoSpacing">
    <w:name w:val="No Spacing"/>
    <w:link w:val="NoSpacingChar"/>
    <w:uiPriority w:val="1"/>
    <w:qFormat/>
    <w:rsid w:val="008F47D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F47DC"/>
    <w:rPr>
      <w:rFonts w:eastAsiaTheme="minorEastAsia"/>
      <w:kern w:val="0"/>
      <w14:ligatures w14:val="none"/>
    </w:rPr>
  </w:style>
  <w:style w:type="paragraph" w:styleId="FootnoteText">
    <w:name w:val="footnote text"/>
    <w:basedOn w:val="Normal"/>
    <w:link w:val="FootnoteTextChar"/>
    <w:uiPriority w:val="99"/>
    <w:semiHidden/>
    <w:unhideWhenUsed/>
    <w:rsid w:val="00E22F0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22F03"/>
    <w:rPr>
      <w:kern w:val="0"/>
      <w:sz w:val="20"/>
      <w:szCs w:val="20"/>
      <w14:ligatures w14:val="none"/>
    </w:rPr>
  </w:style>
  <w:style w:type="character" w:styleId="FootnoteReference">
    <w:name w:val="footnote reference"/>
    <w:basedOn w:val="DefaultParagraphFont"/>
    <w:uiPriority w:val="99"/>
    <w:semiHidden/>
    <w:unhideWhenUsed/>
    <w:rsid w:val="00E22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ig@seattle.gov" TargetMode="Externa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10" Type="http://schemas.openxmlformats.org/officeDocument/2006/relationships/image" Target="media/image1.emf"/><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oig@seattle.gov"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fontTable" Target="fontTable.xml"/><Relationship Id="rId20" Type="http://schemas.openxmlformats.org/officeDocument/2006/relationships/diagramLayout" Target="diagrams/layout2.xml"/><Relationship Id="rId41" Type="http://schemas.openxmlformats.org/officeDocument/2006/relationships/diagramQuickStyle" Target="diagrams/quickStyle6.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s://www.seattle.gov/documents/Departments/OIG/Audits/Surveillance%20Technology%20Usage%20Review_Situational%20Awareness%20Cameras%20Without%20Recording%20%282021%20and%202022%29.pdf" TargetMode="External"/><Relationship Id="rId2" Type="http://schemas.openxmlformats.org/officeDocument/2006/relationships/hyperlink" Target="https://www.seattle.gov/documents/Departments/OIG/Audits/SurveillanceTechnologyUsageReview-AudioRecordingSystems%282022%29.pdf" TargetMode="External"/><Relationship Id="rId1" Type="http://schemas.openxmlformats.org/officeDocument/2006/relationships/hyperlink" Target="https://www.seattle.gov/documents/Departments/OIG/Audits/SurveillanceTechnologyUsageReview-ParkingEnforcementALPRSystems%282021and2022%29.pdf" TargetMode="External"/><Relationship Id="rId6" Type="http://schemas.openxmlformats.org/officeDocument/2006/relationships/hyperlink" Target="https://www.seattle.gov/documents/Departments/OIG/Audits/Surveillance%20Technology%20Usage%20Review_Video%20Recording%20Systems%20%282021%20and%202022%29.pdf" TargetMode="External"/><Relationship Id="rId5" Type="http://schemas.openxmlformats.org/officeDocument/2006/relationships/hyperlink" Target="https://www.seattle.gov/documents/Departments/OIG/Audits/SurveillanceTechnologyUsageReview-i2iBaseLinkAnalysisSoftware%282022%29.pdf" TargetMode="External"/><Relationship Id="rId4" Type="http://schemas.openxmlformats.org/officeDocument/2006/relationships/hyperlink" Target="https://www.seattle.gov/documents/Departments/OIG/Audits/SurveillanceTechnologyUsageReview-9-1-1LoggingRecorder%282021and2022%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t>Technology Use</a:t>
          </a:r>
        </a:p>
      </dgm:t>
    </dgm:pt>
    <dgm:pt modelId="{2D9D5B55-3F32-47EC-AACF-59131F619CE3}" type="parTrans" cxnId="{3125A52B-4AA5-4CC0-84F3-EED98D244014}">
      <dgm:prSet/>
      <dgm:spPr/>
      <dgm:t>
        <a:bodyPr/>
        <a:lstStyle/>
        <a:p>
          <a:endParaRPr lang="en-US"/>
        </a:p>
      </dgm:t>
    </dgm:pt>
    <dgm:pt modelId="{CED03A4F-FF7B-4959-928A-B16A7C1C4EF8}" type="sibTrans" cxnId="{3125A52B-4AA5-4CC0-84F3-EED98D244014}">
      <dgm:prSet/>
      <dgm:spPr/>
      <dgm:t>
        <a:bodyPr/>
        <a:lstStyle/>
        <a:p>
          <a:endParaRPr lang="en-US"/>
        </a:p>
      </dgm:t>
    </dgm:pt>
    <dgm:pt modelId="{8CE42AE3-547D-423A-A5F4-43BC4E1D8F0C}">
      <dgm:prSet phldrT="[Text]" custT="1"/>
      <dgm:spPr/>
      <dgm:t>
        <a:bodyPr/>
        <a:lstStyle/>
        <a:p>
          <a:pPr>
            <a:buFont typeface="Symbol" panose="05050102010706020507" pitchFamily="18" charset="2"/>
            <a:buChar char=""/>
          </a:pPr>
          <a:r>
            <a:rPr lang="en-US" sz="1000"/>
            <a:t>Technology is directed at vehicles along public roadways and most license plate images are retained for three minutes</a:t>
          </a:r>
        </a:p>
      </dgm:t>
    </dgm:pt>
    <dgm:pt modelId="{BF3DC6B4-C90E-4430-AC70-92E5DE65BFCE}" type="parTrans" cxnId="{2FAA3028-9E26-407B-AE96-83201E53778C}">
      <dgm:prSet/>
      <dgm:spPr/>
      <dgm:t>
        <a:bodyPr/>
        <a:lstStyle/>
        <a:p>
          <a:endParaRPr lang="en-US"/>
        </a:p>
      </dgm:t>
    </dgm:pt>
    <dgm:pt modelId="{BB820C90-D6DF-4C9A-8922-9C05FEB4D9B2}" type="sibTrans" cxnId="{2FAA3028-9E26-407B-AE96-83201E53778C}">
      <dgm:prSet/>
      <dgm:spPr/>
      <dgm:t>
        <a:bodyPr/>
        <a:lstStyle/>
        <a:p>
          <a:endParaRPr lang="en-US"/>
        </a:p>
      </dgm:t>
    </dgm:pt>
    <dgm:pt modelId="{D4140B3E-F2BD-444D-A39E-109D1316A462}">
      <dgm:prSet phldrT="[Text]" custT="1"/>
      <dgm:spPr/>
      <dgm:t>
        <a:bodyPr/>
        <a:lstStyle/>
        <a:p>
          <a:r>
            <a:rPr lang="en-US" sz="1200"/>
            <a:t>Data Sharing</a:t>
          </a:r>
        </a:p>
      </dgm:t>
    </dgm:pt>
    <dgm:pt modelId="{52CC808E-F2D3-417E-BD45-D6F47DB7D31B}" type="parTrans" cxnId="{5666FA4E-AFD1-4316-BFB5-C606F6538992}">
      <dgm:prSet/>
      <dgm:spPr/>
      <dgm:t>
        <a:bodyPr/>
        <a:lstStyle/>
        <a:p>
          <a:endParaRPr lang="en-US"/>
        </a:p>
      </dgm:t>
    </dgm:pt>
    <dgm:pt modelId="{ACC4314C-A05E-42AD-AEF6-6F34E6C08FB1}" type="sibTrans" cxnId="{5666FA4E-AFD1-4316-BFB5-C606F6538992}">
      <dgm:prSet/>
      <dgm:spPr/>
      <dgm:t>
        <a:bodyPr/>
        <a:lstStyle/>
        <a:p>
          <a:endParaRPr lang="en-US"/>
        </a:p>
      </dgm:t>
    </dgm:pt>
    <dgm:pt modelId="{5333210A-C77D-46E7-B362-30E167DC1AD4}">
      <dgm:prSet phldrT="[Text]" custT="1"/>
      <dgm:spPr/>
      <dgm:t>
        <a:bodyPr/>
        <a:lstStyle/>
        <a:p>
          <a:r>
            <a:rPr lang="en-US" sz="1000"/>
            <a:t>PE management have received few, if any, sharing requests in prior years and the retention periods shorten the number of available records</a:t>
          </a:r>
        </a:p>
      </dgm:t>
    </dgm:pt>
    <dgm:pt modelId="{AD61E923-8CCA-4EC4-977B-B0A7D8EDD492}" type="parTrans" cxnId="{FFA74BC2-2EAD-44A5-A7EC-B202971BA0D8}">
      <dgm:prSet/>
      <dgm:spPr/>
      <dgm:t>
        <a:bodyPr/>
        <a:lstStyle/>
        <a:p>
          <a:endParaRPr lang="en-US"/>
        </a:p>
      </dgm:t>
    </dgm:pt>
    <dgm:pt modelId="{356841D4-A26B-4C85-A071-49B48EC297B4}" type="sibTrans" cxnId="{FFA74BC2-2EAD-44A5-A7EC-B202971BA0D8}">
      <dgm:prSet/>
      <dgm:spPr/>
      <dgm:t>
        <a:bodyPr/>
        <a:lstStyle/>
        <a:p>
          <a:endParaRPr lang="en-US"/>
        </a:p>
      </dgm:t>
    </dgm:pt>
    <dgm:pt modelId="{81D871E1-083C-4139-A698-04C3C7AD4DE3}">
      <dgm:prSet phldrT="[Text]" custT="1"/>
      <dgm:spPr/>
      <dgm:t>
        <a:bodyPr/>
        <a:lstStyle/>
        <a:p>
          <a:r>
            <a:rPr lang="en-US" sz="1200"/>
            <a:t>Data Security</a:t>
          </a:r>
        </a:p>
      </dgm:t>
    </dgm:pt>
    <dgm:pt modelId="{50E228A3-CE35-47E6-8613-E00C3D0A0425}" type="parTrans" cxnId="{B5574DA9-E419-4507-B0CD-FC8E039B3862}">
      <dgm:prSet/>
      <dgm:spPr/>
      <dgm:t>
        <a:bodyPr/>
        <a:lstStyle/>
        <a:p>
          <a:endParaRPr lang="en-US"/>
        </a:p>
      </dgm:t>
    </dgm:pt>
    <dgm:pt modelId="{1EAFF4AE-32BD-41DB-97DB-CA79BB135DAF}" type="sibTrans" cxnId="{B5574DA9-E419-4507-B0CD-FC8E039B3862}">
      <dgm:prSet/>
      <dgm:spPr/>
      <dgm:t>
        <a:bodyPr/>
        <a:lstStyle/>
        <a:p>
          <a:endParaRPr lang="en-US"/>
        </a:p>
      </dgm:t>
    </dgm:pt>
    <dgm:pt modelId="{C7285B9B-E7F5-45BF-B21B-B66A7D1AF846}">
      <dgm:prSet phldrT="[Text]" custT="1"/>
      <dgm:spPr/>
      <dgm:t>
        <a:bodyPr/>
        <a:lstStyle/>
        <a:p>
          <a:r>
            <a:rPr lang="en-US" sz="1200"/>
            <a:t>Potentail Civil Liberties Impacts</a:t>
          </a:r>
        </a:p>
      </dgm:t>
    </dgm:pt>
    <dgm:pt modelId="{FCD6A876-5056-4CA7-97C3-65580005F9B7}" type="parTrans" cxnId="{28F53BB9-38C7-4474-8216-31EEE41DA480}">
      <dgm:prSet/>
      <dgm:spPr/>
      <dgm:t>
        <a:bodyPr/>
        <a:lstStyle/>
        <a:p>
          <a:endParaRPr lang="en-US"/>
        </a:p>
      </dgm:t>
    </dgm:pt>
    <dgm:pt modelId="{D333400A-8D17-4513-9604-04D81F4E3479}" type="sibTrans" cxnId="{28F53BB9-38C7-4474-8216-31EEE41DA480}">
      <dgm:prSet/>
      <dgm:spPr/>
      <dgm:t>
        <a:bodyPr/>
        <a:lstStyle/>
        <a:p>
          <a:endParaRPr lang="en-US"/>
        </a:p>
      </dgm:t>
    </dgm:pt>
    <dgm:pt modelId="{6A889DF8-8F89-41B8-9126-03A62CFA440F}">
      <dgm:prSet phldrT="[Text]" custT="1"/>
      <dgm:spPr/>
      <dgm:t>
        <a:bodyPr/>
        <a:lstStyle/>
        <a:p>
          <a:r>
            <a:rPr lang="en-US" sz="1200"/>
            <a:t>Internal Assessments</a:t>
          </a:r>
        </a:p>
      </dgm:t>
    </dgm:pt>
    <dgm:pt modelId="{D50CFCB0-3566-4A0A-842D-30F46AF2259B}" type="parTrans" cxnId="{520002B2-2805-40C0-9311-89F427020800}">
      <dgm:prSet/>
      <dgm:spPr/>
      <dgm:t>
        <a:bodyPr/>
        <a:lstStyle/>
        <a:p>
          <a:endParaRPr lang="en-US"/>
        </a:p>
      </dgm:t>
    </dgm:pt>
    <dgm:pt modelId="{210C1774-1AA7-4F5E-824C-66DE61CC70C2}" type="sibTrans" cxnId="{520002B2-2805-40C0-9311-89F427020800}">
      <dgm:prSet/>
      <dgm:spPr/>
      <dgm:t>
        <a:bodyPr/>
        <a:lstStyle/>
        <a:p>
          <a:endParaRPr lang="en-US"/>
        </a:p>
      </dgm:t>
    </dgm:pt>
    <dgm:pt modelId="{5EBDA807-0947-423A-AFA7-0484C7224AC3}">
      <dgm:prSet phldrT="[Text]" custT="1"/>
      <dgm:spPr/>
      <dgm:t>
        <a:bodyPr/>
        <a:lstStyle/>
        <a:p>
          <a:r>
            <a:rPr lang="en-US" sz="1200"/>
            <a:t>Costs</a:t>
          </a:r>
        </a:p>
      </dgm:t>
    </dgm:pt>
    <dgm:pt modelId="{371F526C-0D20-4CA9-BE9C-0B794CDB7AE6}" type="parTrans" cxnId="{087B0BCC-032E-4F4C-A49D-31737919067D}">
      <dgm:prSet/>
      <dgm:spPr/>
      <dgm:t>
        <a:bodyPr/>
        <a:lstStyle/>
        <a:p>
          <a:endParaRPr lang="en-US"/>
        </a:p>
      </dgm:t>
    </dgm:pt>
    <dgm:pt modelId="{5E3825EF-AA66-40FF-82D4-A5DDC3329C19}" type="sibTrans" cxnId="{087B0BCC-032E-4F4C-A49D-31737919067D}">
      <dgm:prSet/>
      <dgm:spPr/>
      <dgm:t>
        <a:bodyPr/>
        <a:lstStyle/>
        <a:p>
          <a:endParaRPr lang="en-US"/>
        </a:p>
      </dgm:t>
    </dgm:pt>
    <dgm:pt modelId="{1A4C193C-EBA7-496A-A328-2F0F85C226E5}">
      <dgm:prSet phldrT="[Text]" custT="1"/>
      <dgm:spPr/>
      <dgm:t>
        <a:bodyPr/>
        <a:lstStyle/>
        <a:p>
          <a:r>
            <a:rPr lang="en-US" sz="1000"/>
            <a:t>Most license plate reads are retained for only three minutes, except for possible scofflaw violations or possible stolen vehicles, which are retained for 90 days. Few personnel have access to either the ALPR-equipped vehicles or to the data generated by them</a:t>
          </a:r>
        </a:p>
      </dgm:t>
    </dgm:pt>
    <dgm:pt modelId="{313B8EC1-F641-459B-96E5-0FF6186C92A8}" type="parTrans" cxnId="{16DD1709-1E6D-4707-B2D9-D91853A5C733}">
      <dgm:prSet/>
      <dgm:spPr/>
      <dgm:t>
        <a:bodyPr/>
        <a:lstStyle/>
        <a:p>
          <a:endParaRPr lang="en-US"/>
        </a:p>
      </dgm:t>
    </dgm:pt>
    <dgm:pt modelId="{26FF2844-3D41-41F1-9280-F244BAB1E978}" type="sibTrans" cxnId="{16DD1709-1E6D-4707-B2D9-D91853A5C733}">
      <dgm:prSet/>
      <dgm:spPr/>
      <dgm:t>
        <a:bodyPr/>
        <a:lstStyle/>
        <a:p>
          <a:endParaRPr lang="en-US"/>
        </a:p>
      </dgm:t>
    </dgm:pt>
    <dgm:pt modelId="{4584266E-578E-4624-86A2-9E1CF24B4430}">
      <dgm:prSet phldrT="[Text]" custT="1"/>
      <dgm:spPr/>
      <dgm:t>
        <a:bodyPr/>
        <a:lstStyle/>
        <a:p>
          <a:r>
            <a:rPr lang="en-US" sz="1000"/>
            <a:t>License plate scans are retained for only three minutes, unless they match a criminal record or scofflaw violation, in which cases they are retained for 90 days</a:t>
          </a:r>
        </a:p>
        <a:p>
          <a:r>
            <a:rPr lang="en-US" sz="1000"/>
            <a:t>PE officers have some discretion in choosing patrol routes, which could result in certain locations being subject to higher rates of surveillance</a:t>
          </a:r>
        </a:p>
      </dgm:t>
    </dgm:pt>
    <dgm:pt modelId="{26FAEB28-B8BD-4151-A530-EEFCC7A1722C}" type="parTrans" cxnId="{738E7910-D65F-4C55-A528-A714E4C3EAC0}">
      <dgm:prSet/>
      <dgm:spPr/>
      <dgm:t>
        <a:bodyPr/>
        <a:lstStyle/>
        <a:p>
          <a:endParaRPr lang="en-US"/>
        </a:p>
      </dgm:t>
    </dgm:pt>
    <dgm:pt modelId="{D68DC507-250B-40BE-8E83-C302D7E25514}" type="sibTrans" cxnId="{738E7910-D65F-4C55-A528-A714E4C3EAC0}">
      <dgm:prSet/>
      <dgm:spPr/>
      <dgm:t>
        <a:bodyPr/>
        <a:lstStyle/>
        <a:p>
          <a:endParaRPr lang="en-US"/>
        </a:p>
      </dgm:t>
    </dgm:pt>
    <dgm:pt modelId="{05FC67A9-7B69-4932-B39E-8D9A8E50068A}">
      <dgm:prSet phldrT="[Text]" custT="1"/>
      <dgm:spPr/>
      <dgm:t>
        <a:bodyPr/>
        <a:lstStyle/>
        <a:p>
          <a:r>
            <a:rPr lang="en-US" sz="1000"/>
            <a:t>No new assessments, registered community concerns, or OPA complaints</a:t>
          </a:r>
        </a:p>
      </dgm:t>
    </dgm:pt>
    <dgm:pt modelId="{90675039-BEB4-4390-959D-3525E554C980}" type="parTrans" cxnId="{F56947E4-3767-423F-A3B2-0E2D649F0C40}">
      <dgm:prSet/>
      <dgm:spPr/>
      <dgm:t>
        <a:bodyPr/>
        <a:lstStyle/>
        <a:p>
          <a:endParaRPr lang="en-US"/>
        </a:p>
      </dgm:t>
    </dgm:pt>
    <dgm:pt modelId="{1FBE385B-A23A-4A8E-BF93-20D7389FB018}" type="sibTrans" cxnId="{F56947E4-3767-423F-A3B2-0E2D649F0C40}">
      <dgm:prSet/>
      <dgm:spPr/>
      <dgm:t>
        <a:bodyPr/>
        <a:lstStyle/>
        <a:p>
          <a:endParaRPr lang="en-US"/>
        </a:p>
      </dgm:t>
    </dgm:pt>
    <dgm:pt modelId="{68007653-C756-4614-8F3C-F72085767FC1}">
      <dgm:prSet phldrT="[Text]" custT="1"/>
      <dgm:spPr/>
      <dgm:t>
        <a:bodyPr/>
        <a:lstStyle/>
        <a:p>
          <a:r>
            <a:rPr lang="en-US" sz="1000"/>
            <a:t>No significant changes from the 2022 annual costs, $28,300</a:t>
          </a:r>
        </a:p>
      </dgm:t>
    </dgm:pt>
    <dgm:pt modelId="{562CE3E3-6F62-4D89-871A-FD59DABF47B6}" type="parTrans" cxnId="{3A4C2EA5-CC1A-4CF3-AEB7-9B6D264AA1E1}">
      <dgm:prSet/>
      <dgm:spPr/>
      <dgm:t>
        <a:bodyPr/>
        <a:lstStyle/>
        <a:p>
          <a:endParaRPr lang="en-US"/>
        </a:p>
      </dgm:t>
    </dgm:pt>
    <dgm:pt modelId="{263AD1DA-9291-448F-A425-B55A0FCCC49B}" type="sibTrans" cxnId="{3A4C2EA5-CC1A-4CF3-AEB7-9B6D264AA1E1}">
      <dgm:prSet/>
      <dgm:spPr/>
      <dgm:t>
        <a:bodyPr/>
        <a:lstStyle/>
        <a:p>
          <a:endParaRPr lang="en-US"/>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custScaleX="98424">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custScaleX="98424">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custScaleX="98424">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custScaleX="98424">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custScaleX="98424">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custScaleX="98424">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t>Technology Use</a:t>
          </a:r>
        </a:p>
      </dgm:t>
    </dgm:pt>
    <dgm:pt modelId="{2D9D5B55-3F32-47EC-AACF-59131F619CE3}" type="parTrans" cxnId="{3125A52B-4AA5-4CC0-84F3-EED98D244014}">
      <dgm:prSet/>
      <dgm:spPr/>
      <dgm:t>
        <a:bodyPr/>
        <a:lstStyle/>
        <a:p>
          <a:endParaRPr lang="en-US"/>
        </a:p>
      </dgm:t>
    </dgm:pt>
    <dgm:pt modelId="{CED03A4F-FF7B-4959-928A-B16A7C1C4EF8}" type="sibTrans" cxnId="{3125A52B-4AA5-4CC0-84F3-EED98D244014}">
      <dgm:prSet/>
      <dgm:spPr/>
      <dgm:t>
        <a:bodyPr/>
        <a:lstStyle/>
        <a:p>
          <a:endParaRPr lang="en-US"/>
        </a:p>
      </dgm:t>
    </dgm:pt>
    <dgm:pt modelId="{8CE42AE3-547D-423A-A5F4-43BC4E1D8F0C}">
      <dgm:prSet phldrT="[Text]"/>
      <dgm:spPr/>
      <dgm:t>
        <a:bodyPr/>
        <a:lstStyle/>
        <a:p>
          <a:pPr>
            <a:buFont typeface="Symbol" panose="05050102010706020507" pitchFamily="18" charset="2"/>
            <a:buChar char=""/>
          </a:pPr>
          <a:r>
            <a:rPr lang="en-US"/>
            <a:t>This technology is used sparingly: in 2023 there were fewer than ten deployments </a:t>
          </a:r>
        </a:p>
      </dgm:t>
    </dgm:pt>
    <dgm:pt modelId="{BF3DC6B4-C90E-4430-AC70-92E5DE65BFCE}" type="parTrans" cxnId="{2FAA3028-9E26-407B-AE96-83201E53778C}">
      <dgm:prSet/>
      <dgm:spPr/>
      <dgm:t>
        <a:bodyPr/>
        <a:lstStyle/>
        <a:p>
          <a:endParaRPr lang="en-US"/>
        </a:p>
      </dgm:t>
    </dgm:pt>
    <dgm:pt modelId="{BB820C90-D6DF-4C9A-8922-9C05FEB4D9B2}" type="sibTrans" cxnId="{2FAA3028-9E26-407B-AE96-83201E53778C}">
      <dgm:prSet/>
      <dgm:spPr/>
      <dgm:t>
        <a:bodyPr/>
        <a:lstStyle/>
        <a:p>
          <a:endParaRPr lang="en-US"/>
        </a:p>
      </dgm:t>
    </dgm:pt>
    <dgm:pt modelId="{D4140B3E-F2BD-444D-A39E-109D1316A462}">
      <dgm:prSet phldrT="[Text]" custT="1"/>
      <dgm:spPr/>
      <dgm:t>
        <a:bodyPr/>
        <a:lstStyle/>
        <a:p>
          <a:r>
            <a:rPr lang="en-US" sz="1200"/>
            <a:t>Data Sharing</a:t>
          </a:r>
        </a:p>
      </dgm:t>
    </dgm:pt>
    <dgm:pt modelId="{52CC808E-F2D3-417E-BD45-D6F47DB7D31B}" type="parTrans" cxnId="{5666FA4E-AFD1-4316-BFB5-C606F6538992}">
      <dgm:prSet/>
      <dgm:spPr/>
      <dgm:t>
        <a:bodyPr/>
        <a:lstStyle/>
        <a:p>
          <a:endParaRPr lang="en-US"/>
        </a:p>
      </dgm:t>
    </dgm:pt>
    <dgm:pt modelId="{ACC4314C-A05E-42AD-AEF6-6F34E6C08FB1}" type="sibTrans" cxnId="{5666FA4E-AFD1-4316-BFB5-C606F6538992}">
      <dgm:prSet/>
      <dgm:spPr/>
      <dgm:t>
        <a:bodyPr/>
        <a:lstStyle/>
        <a:p>
          <a:endParaRPr lang="en-US"/>
        </a:p>
      </dgm:t>
    </dgm:pt>
    <dgm:pt modelId="{5333210A-C77D-46E7-B362-30E167DC1AD4}">
      <dgm:prSet phldrT="[Text]"/>
      <dgm:spPr/>
      <dgm:t>
        <a:bodyPr/>
        <a:lstStyle/>
        <a:p>
          <a:r>
            <a:rPr lang="en-US"/>
            <a:t>Data collected are sensitive and case officers become the data custodians of audio recordings after deployment. Individually, case officers manage data sharing and, thus,  tracking all instances of data sharing has not been feasible</a:t>
          </a:r>
        </a:p>
      </dgm:t>
    </dgm:pt>
    <dgm:pt modelId="{AD61E923-8CCA-4EC4-977B-B0A7D8EDD492}" type="parTrans" cxnId="{FFA74BC2-2EAD-44A5-A7EC-B202971BA0D8}">
      <dgm:prSet/>
      <dgm:spPr/>
      <dgm:t>
        <a:bodyPr/>
        <a:lstStyle/>
        <a:p>
          <a:endParaRPr lang="en-US"/>
        </a:p>
      </dgm:t>
    </dgm:pt>
    <dgm:pt modelId="{356841D4-A26B-4C85-A071-49B48EC297B4}" type="sibTrans" cxnId="{FFA74BC2-2EAD-44A5-A7EC-B202971BA0D8}">
      <dgm:prSet/>
      <dgm:spPr/>
      <dgm:t>
        <a:bodyPr/>
        <a:lstStyle/>
        <a:p>
          <a:endParaRPr lang="en-US"/>
        </a:p>
      </dgm:t>
    </dgm:pt>
    <dgm:pt modelId="{81D871E1-083C-4139-A698-04C3C7AD4DE3}">
      <dgm:prSet phldrT="[Text]" custT="1"/>
      <dgm:spPr/>
      <dgm:t>
        <a:bodyPr/>
        <a:lstStyle/>
        <a:p>
          <a:r>
            <a:rPr lang="en-US" sz="1200"/>
            <a:t>Data Security</a:t>
          </a:r>
        </a:p>
      </dgm:t>
    </dgm:pt>
    <dgm:pt modelId="{50E228A3-CE35-47E6-8613-E00C3D0A0425}" type="parTrans" cxnId="{B5574DA9-E419-4507-B0CD-FC8E039B3862}">
      <dgm:prSet/>
      <dgm:spPr/>
      <dgm:t>
        <a:bodyPr/>
        <a:lstStyle/>
        <a:p>
          <a:endParaRPr lang="en-US"/>
        </a:p>
      </dgm:t>
    </dgm:pt>
    <dgm:pt modelId="{1EAFF4AE-32BD-41DB-97DB-CA79BB135DAF}" type="sibTrans" cxnId="{B5574DA9-E419-4507-B0CD-FC8E039B3862}">
      <dgm:prSet/>
      <dgm:spPr/>
      <dgm:t>
        <a:bodyPr/>
        <a:lstStyle/>
        <a:p>
          <a:endParaRPr lang="en-US"/>
        </a:p>
      </dgm:t>
    </dgm:pt>
    <dgm:pt modelId="{C7285B9B-E7F5-45BF-B21B-B66A7D1AF846}">
      <dgm:prSet phldrT="[Text]" custT="1"/>
      <dgm:spPr/>
      <dgm:t>
        <a:bodyPr/>
        <a:lstStyle/>
        <a:p>
          <a:r>
            <a:rPr lang="en-US" sz="1200"/>
            <a:t>Potentail Civil Liberties Impacts</a:t>
          </a:r>
        </a:p>
      </dgm:t>
    </dgm:pt>
    <dgm:pt modelId="{FCD6A876-5056-4CA7-97C3-65580005F9B7}" type="parTrans" cxnId="{28F53BB9-38C7-4474-8216-31EEE41DA480}">
      <dgm:prSet/>
      <dgm:spPr/>
      <dgm:t>
        <a:bodyPr/>
        <a:lstStyle/>
        <a:p>
          <a:endParaRPr lang="en-US"/>
        </a:p>
      </dgm:t>
    </dgm:pt>
    <dgm:pt modelId="{D333400A-8D17-4513-9604-04D81F4E3479}" type="sibTrans" cxnId="{28F53BB9-38C7-4474-8216-31EEE41DA480}">
      <dgm:prSet/>
      <dgm:spPr/>
      <dgm:t>
        <a:bodyPr/>
        <a:lstStyle/>
        <a:p>
          <a:endParaRPr lang="en-US"/>
        </a:p>
      </dgm:t>
    </dgm:pt>
    <dgm:pt modelId="{6A889DF8-8F89-41B8-9126-03A62CFA440F}">
      <dgm:prSet phldrT="[Text]" custT="1"/>
      <dgm:spPr/>
      <dgm:t>
        <a:bodyPr/>
        <a:lstStyle/>
        <a:p>
          <a:r>
            <a:rPr lang="en-US" sz="1200"/>
            <a:t>Internal Assessments</a:t>
          </a:r>
        </a:p>
      </dgm:t>
    </dgm:pt>
    <dgm:pt modelId="{D50CFCB0-3566-4A0A-842D-30F46AF2259B}" type="parTrans" cxnId="{520002B2-2805-40C0-9311-89F427020800}">
      <dgm:prSet/>
      <dgm:spPr/>
      <dgm:t>
        <a:bodyPr/>
        <a:lstStyle/>
        <a:p>
          <a:endParaRPr lang="en-US"/>
        </a:p>
      </dgm:t>
    </dgm:pt>
    <dgm:pt modelId="{210C1774-1AA7-4F5E-824C-66DE61CC70C2}" type="sibTrans" cxnId="{520002B2-2805-40C0-9311-89F427020800}">
      <dgm:prSet/>
      <dgm:spPr/>
      <dgm:t>
        <a:bodyPr/>
        <a:lstStyle/>
        <a:p>
          <a:endParaRPr lang="en-US"/>
        </a:p>
      </dgm:t>
    </dgm:pt>
    <dgm:pt modelId="{5EBDA807-0947-423A-AFA7-0484C7224AC3}">
      <dgm:prSet phldrT="[Text]" custT="1"/>
      <dgm:spPr/>
      <dgm:t>
        <a:bodyPr/>
        <a:lstStyle/>
        <a:p>
          <a:r>
            <a:rPr lang="en-US" sz="1200"/>
            <a:t>Costs</a:t>
          </a:r>
        </a:p>
      </dgm:t>
    </dgm:pt>
    <dgm:pt modelId="{371F526C-0D20-4CA9-BE9C-0B794CDB7AE6}" type="parTrans" cxnId="{087B0BCC-032E-4F4C-A49D-31737919067D}">
      <dgm:prSet/>
      <dgm:spPr/>
      <dgm:t>
        <a:bodyPr/>
        <a:lstStyle/>
        <a:p>
          <a:endParaRPr lang="en-US"/>
        </a:p>
      </dgm:t>
    </dgm:pt>
    <dgm:pt modelId="{5E3825EF-AA66-40FF-82D4-A5DDC3329C19}" type="sibTrans" cxnId="{087B0BCC-032E-4F4C-A49D-31737919067D}">
      <dgm:prSet/>
      <dgm:spPr/>
      <dgm:t>
        <a:bodyPr/>
        <a:lstStyle/>
        <a:p>
          <a:endParaRPr lang="en-US"/>
        </a:p>
      </dgm:t>
    </dgm:pt>
    <dgm:pt modelId="{1A4C193C-EBA7-496A-A328-2F0F85C226E5}">
      <dgm:prSet phldrT="[Text]"/>
      <dgm:spPr/>
      <dgm:t>
        <a:bodyPr/>
        <a:lstStyle/>
        <a:p>
          <a:r>
            <a:rPr lang="en-US"/>
            <a:t>Data collected are stored on external disks/discs. Case officers are responsible for submitting stored recordings to the Evidence Unit</a:t>
          </a:r>
        </a:p>
      </dgm:t>
    </dgm:pt>
    <dgm:pt modelId="{313B8EC1-F641-459B-96E5-0FF6186C92A8}" type="parTrans" cxnId="{16DD1709-1E6D-4707-B2D9-D91853A5C733}">
      <dgm:prSet/>
      <dgm:spPr/>
      <dgm:t>
        <a:bodyPr/>
        <a:lstStyle/>
        <a:p>
          <a:endParaRPr lang="en-US"/>
        </a:p>
      </dgm:t>
    </dgm:pt>
    <dgm:pt modelId="{26FF2844-3D41-41F1-9280-F244BAB1E978}" type="sibTrans" cxnId="{16DD1709-1E6D-4707-B2D9-D91853A5C733}">
      <dgm:prSet/>
      <dgm:spPr/>
      <dgm:t>
        <a:bodyPr/>
        <a:lstStyle/>
        <a:p>
          <a:endParaRPr lang="en-US"/>
        </a:p>
      </dgm:t>
    </dgm:pt>
    <dgm:pt modelId="{4584266E-578E-4624-86A2-9E1CF24B4430}">
      <dgm:prSet phldrT="[Text]"/>
      <dgm:spPr/>
      <dgm:t>
        <a:bodyPr/>
        <a:lstStyle/>
        <a:p>
          <a:r>
            <a:rPr lang="en-US"/>
            <a:t>Requests to use this surveillance technology must adhere to the Washington Privacy Act, Chapter 9.73, which requires two-party consent. Two-party consent to record can be satisfied with a warrant approving the collection of audio</a:t>
          </a:r>
        </a:p>
      </dgm:t>
    </dgm:pt>
    <dgm:pt modelId="{26FAEB28-B8BD-4151-A530-EEFCC7A1722C}" type="parTrans" cxnId="{738E7910-D65F-4C55-A528-A714E4C3EAC0}">
      <dgm:prSet/>
      <dgm:spPr/>
      <dgm:t>
        <a:bodyPr/>
        <a:lstStyle/>
        <a:p>
          <a:endParaRPr lang="en-US"/>
        </a:p>
      </dgm:t>
    </dgm:pt>
    <dgm:pt modelId="{D68DC507-250B-40BE-8E83-C302D7E25514}" type="sibTrans" cxnId="{738E7910-D65F-4C55-A528-A714E4C3EAC0}">
      <dgm:prSet/>
      <dgm:spPr/>
      <dgm:t>
        <a:bodyPr/>
        <a:lstStyle/>
        <a:p>
          <a:endParaRPr lang="en-US"/>
        </a:p>
      </dgm:t>
    </dgm:pt>
    <dgm:pt modelId="{05FC67A9-7B69-4932-B39E-8D9A8E50068A}">
      <dgm:prSet phldrT="[Text]"/>
      <dgm:spPr/>
      <dgm:t>
        <a:bodyPr/>
        <a:lstStyle/>
        <a:p>
          <a:r>
            <a:rPr lang="en-US"/>
            <a:t>No new assessments, registered community concerns, or OPA complaints</a:t>
          </a:r>
        </a:p>
      </dgm:t>
    </dgm:pt>
    <dgm:pt modelId="{90675039-BEB4-4390-959D-3525E554C980}" type="parTrans" cxnId="{F56947E4-3767-423F-A3B2-0E2D649F0C40}">
      <dgm:prSet/>
      <dgm:spPr/>
      <dgm:t>
        <a:bodyPr/>
        <a:lstStyle/>
        <a:p>
          <a:endParaRPr lang="en-US"/>
        </a:p>
      </dgm:t>
    </dgm:pt>
    <dgm:pt modelId="{1FBE385B-A23A-4A8E-BF93-20D7389FB018}" type="sibTrans" cxnId="{F56947E4-3767-423F-A3B2-0E2D649F0C40}">
      <dgm:prSet/>
      <dgm:spPr/>
      <dgm:t>
        <a:bodyPr/>
        <a:lstStyle/>
        <a:p>
          <a:endParaRPr lang="en-US"/>
        </a:p>
      </dgm:t>
    </dgm:pt>
    <dgm:pt modelId="{68007653-C756-4614-8F3C-F72085767FC1}">
      <dgm:prSet phldrT="[Text]"/>
      <dgm:spPr/>
      <dgm:t>
        <a:bodyPr/>
        <a:lstStyle/>
        <a:p>
          <a:r>
            <a:rPr lang="en-US"/>
            <a:t>No significant changes from the 2022 annual costs, $7,342.65</a:t>
          </a:r>
        </a:p>
      </dgm:t>
    </dgm:pt>
    <dgm:pt modelId="{562CE3E3-6F62-4D89-871A-FD59DABF47B6}" type="parTrans" cxnId="{3A4C2EA5-CC1A-4CF3-AEB7-9B6D264AA1E1}">
      <dgm:prSet/>
      <dgm:spPr/>
      <dgm:t>
        <a:bodyPr/>
        <a:lstStyle/>
        <a:p>
          <a:endParaRPr lang="en-US"/>
        </a:p>
      </dgm:t>
    </dgm:pt>
    <dgm:pt modelId="{263AD1DA-9291-448F-A425-B55A0FCCC49B}" type="sibTrans" cxnId="{3A4C2EA5-CC1A-4CF3-AEB7-9B6D264AA1E1}">
      <dgm:prSet/>
      <dgm:spPr/>
      <dgm:t>
        <a:bodyPr/>
        <a:lstStyle/>
        <a:p>
          <a:endParaRPr lang="en-US"/>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solidFill>
                <a:schemeClr val="bg1"/>
              </a:solidFill>
            </a:rPr>
            <a:t>Technology Use</a:t>
          </a:r>
        </a:p>
      </dgm:t>
    </dgm:pt>
    <dgm:pt modelId="{2D9D5B55-3F32-47EC-AACF-59131F619CE3}" type="parTrans" cxnId="{3125A52B-4AA5-4CC0-84F3-EED98D244014}">
      <dgm:prSet/>
      <dgm:spPr/>
      <dgm:t>
        <a:bodyPr/>
        <a:lstStyle/>
        <a:p>
          <a:endParaRPr lang="en-US">
            <a:solidFill>
              <a:sysClr val="windowText" lastClr="000000"/>
            </a:solidFill>
          </a:endParaRPr>
        </a:p>
      </dgm:t>
    </dgm:pt>
    <dgm:pt modelId="{CED03A4F-FF7B-4959-928A-B16A7C1C4EF8}" type="sibTrans" cxnId="{3125A52B-4AA5-4CC0-84F3-EED98D244014}">
      <dgm:prSet/>
      <dgm:spPr/>
      <dgm:t>
        <a:bodyPr/>
        <a:lstStyle/>
        <a:p>
          <a:endParaRPr lang="en-US">
            <a:solidFill>
              <a:sysClr val="windowText" lastClr="000000"/>
            </a:solidFill>
          </a:endParaRPr>
        </a:p>
      </dgm:t>
    </dgm:pt>
    <dgm:pt modelId="{8CE42AE3-547D-423A-A5F4-43BC4E1D8F0C}">
      <dgm:prSet phldrT="[Text]" custT="1"/>
      <dgm:spPr/>
      <dgm:t>
        <a:bodyPr/>
        <a:lstStyle/>
        <a:p>
          <a:pPr>
            <a:buFont typeface="Symbol" panose="05050102010706020507" pitchFamily="18" charset="2"/>
            <a:buChar char=""/>
          </a:pPr>
          <a:r>
            <a:rPr lang="en-US" sz="1000">
              <a:solidFill>
                <a:sysClr val="windowText" lastClr="000000"/>
              </a:solidFill>
            </a:rPr>
            <a:t>Situational Awareness Cameras are used sparingly and in dangerous situations: in 2023 these cameras were deployed for approximately 20 incidents</a:t>
          </a:r>
        </a:p>
      </dgm:t>
    </dgm:pt>
    <dgm:pt modelId="{BF3DC6B4-C90E-4430-AC70-92E5DE65BFCE}" type="parTrans" cxnId="{2FAA3028-9E26-407B-AE96-83201E53778C}">
      <dgm:prSet/>
      <dgm:spPr/>
      <dgm:t>
        <a:bodyPr/>
        <a:lstStyle/>
        <a:p>
          <a:endParaRPr lang="en-US">
            <a:solidFill>
              <a:sysClr val="windowText" lastClr="000000"/>
            </a:solidFill>
          </a:endParaRPr>
        </a:p>
      </dgm:t>
    </dgm:pt>
    <dgm:pt modelId="{BB820C90-D6DF-4C9A-8922-9C05FEB4D9B2}" type="sibTrans" cxnId="{2FAA3028-9E26-407B-AE96-83201E53778C}">
      <dgm:prSet/>
      <dgm:spPr/>
      <dgm:t>
        <a:bodyPr/>
        <a:lstStyle/>
        <a:p>
          <a:endParaRPr lang="en-US">
            <a:solidFill>
              <a:sysClr val="windowText" lastClr="000000"/>
            </a:solidFill>
          </a:endParaRPr>
        </a:p>
      </dgm:t>
    </dgm:pt>
    <dgm:pt modelId="{D4140B3E-F2BD-444D-A39E-109D1316A462}">
      <dgm:prSet phldrT="[Text]" custT="1"/>
      <dgm:spPr/>
      <dgm:t>
        <a:bodyPr/>
        <a:lstStyle/>
        <a:p>
          <a:r>
            <a:rPr lang="en-US" sz="1200">
              <a:solidFill>
                <a:schemeClr val="bg1"/>
              </a:solidFill>
            </a:rPr>
            <a:t>Data Sharing</a:t>
          </a:r>
        </a:p>
      </dgm:t>
    </dgm:pt>
    <dgm:pt modelId="{52CC808E-F2D3-417E-BD45-D6F47DB7D31B}" type="parTrans" cxnId="{5666FA4E-AFD1-4316-BFB5-C606F6538992}">
      <dgm:prSet/>
      <dgm:spPr/>
      <dgm:t>
        <a:bodyPr/>
        <a:lstStyle/>
        <a:p>
          <a:endParaRPr lang="en-US">
            <a:solidFill>
              <a:sysClr val="windowText" lastClr="000000"/>
            </a:solidFill>
          </a:endParaRPr>
        </a:p>
      </dgm:t>
    </dgm:pt>
    <dgm:pt modelId="{ACC4314C-A05E-42AD-AEF6-6F34E6C08FB1}" type="sibTrans" cxnId="{5666FA4E-AFD1-4316-BFB5-C606F6538992}">
      <dgm:prSet/>
      <dgm:spPr/>
      <dgm:t>
        <a:bodyPr/>
        <a:lstStyle/>
        <a:p>
          <a:endParaRPr lang="en-US">
            <a:solidFill>
              <a:sysClr val="windowText" lastClr="000000"/>
            </a:solidFill>
          </a:endParaRPr>
        </a:p>
      </dgm:t>
    </dgm:pt>
    <dgm:pt modelId="{5333210A-C77D-46E7-B362-30E167DC1AD4}">
      <dgm:prSet phldrT="[Text]" custT="1"/>
      <dgm:spPr/>
      <dgm:t>
        <a:bodyPr/>
        <a:lstStyle/>
        <a:p>
          <a:r>
            <a:rPr lang="en-US" sz="1000">
              <a:solidFill>
                <a:sysClr val="windowText" lastClr="000000"/>
              </a:solidFill>
            </a:rPr>
            <a:t>Situational Awareness Cameras do not record, and, thus, there are no data available to be shared</a:t>
          </a:r>
        </a:p>
      </dgm:t>
    </dgm:pt>
    <dgm:pt modelId="{AD61E923-8CCA-4EC4-977B-B0A7D8EDD492}" type="parTrans" cxnId="{FFA74BC2-2EAD-44A5-A7EC-B202971BA0D8}">
      <dgm:prSet/>
      <dgm:spPr/>
      <dgm:t>
        <a:bodyPr/>
        <a:lstStyle/>
        <a:p>
          <a:endParaRPr lang="en-US">
            <a:solidFill>
              <a:sysClr val="windowText" lastClr="000000"/>
            </a:solidFill>
          </a:endParaRPr>
        </a:p>
      </dgm:t>
    </dgm:pt>
    <dgm:pt modelId="{356841D4-A26B-4C85-A071-49B48EC297B4}" type="sibTrans" cxnId="{FFA74BC2-2EAD-44A5-A7EC-B202971BA0D8}">
      <dgm:prSet/>
      <dgm:spPr/>
      <dgm:t>
        <a:bodyPr/>
        <a:lstStyle/>
        <a:p>
          <a:endParaRPr lang="en-US">
            <a:solidFill>
              <a:sysClr val="windowText" lastClr="000000"/>
            </a:solidFill>
          </a:endParaRPr>
        </a:p>
      </dgm:t>
    </dgm:pt>
    <dgm:pt modelId="{81D871E1-083C-4139-A698-04C3C7AD4DE3}">
      <dgm:prSet phldrT="[Text]" custT="1"/>
      <dgm:spPr/>
      <dgm:t>
        <a:bodyPr/>
        <a:lstStyle/>
        <a:p>
          <a:r>
            <a:rPr lang="en-US" sz="1200">
              <a:solidFill>
                <a:schemeClr val="bg1"/>
              </a:solidFill>
            </a:rPr>
            <a:t>Data Security</a:t>
          </a:r>
        </a:p>
      </dgm:t>
    </dgm:pt>
    <dgm:pt modelId="{50E228A3-CE35-47E6-8613-E00C3D0A0425}" type="parTrans" cxnId="{B5574DA9-E419-4507-B0CD-FC8E039B3862}">
      <dgm:prSet/>
      <dgm:spPr/>
      <dgm:t>
        <a:bodyPr/>
        <a:lstStyle/>
        <a:p>
          <a:endParaRPr lang="en-US">
            <a:solidFill>
              <a:sysClr val="windowText" lastClr="000000"/>
            </a:solidFill>
          </a:endParaRPr>
        </a:p>
      </dgm:t>
    </dgm:pt>
    <dgm:pt modelId="{1EAFF4AE-32BD-41DB-97DB-CA79BB135DAF}" type="sibTrans" cxnId="{B5574DA9-E419-4507-B0CD-FC8E039B3862}">
      <dgm:prSet/>
      <dgm:spPr/>
      <dgm:t>
        <a:bodyPr/>
        <a:lstStyle/>
        <a:p>
          <a:endParaRPr lang="en-US">
            <a:solidFill>
              <a:sysClr val="windowText" lastClr="000000"/>
            </a:solidFill>
          </a:endParaRPr>
        </a:p>
      </dgm:t>
    </dgm:pt>
    <dgm:pt modelId="{C7285B9B-E7F5-45BF-B21B-B66A7D1AF846}">
      <dgm:prSet phldrT="[Text]" custT="1"/>
      <dgm:spPr/>
      <dgm:t>
        <a:bodyPr/>
        <a:lstStyle/>
        <a:p>
          <a:r>
            <a:rPr lang="en-US" sz="1200">
              <a:solidFill>
                <a:schemeClr val="bg1"/>
              </a:solidFill>
            </a:rPr>
            <a:t>Potentail Civil Liberties Impacts</a:t>
          </a:r>
        </a:p>
      </dgm:t>
    </dgm:pt>
    <dgm:pt modelId="{FCD6A876-5056-4CA7-97C3-65580005F9B7}" type="parTrans" cxnId="{28F53BB9-38C7-4474-8216-31EEE41DA480}">
      <dgm:prSet/>
      <dgm:spPr/>
      <dgm:t>
        <a:bodyPr/>
        <a:lstStyle/>
        <a:p>
          <a:endParaRPr lang="en-US">
            <a:solidFill>
              <a:sysClr val="windowText" lastClr="000000"/>
            </a:solidFill>
          </a:endParaRPr>
        </a:p>
      </dgm:t>
    </dgm:pt>
    <dgm:pt modelId="{D333400A-8D17-4513-9604-04D81F4E3479}" type="sibTrans" cxnId="{28F53BB9-38C7-4474-8216-31EEE41DA480}">
      <dgm:prSet/>
      <dgm:spPr/>
      <dgm:t>
        <a:bodyPr/>
        <a:lstStyle/>
        <a:p>
          <a:endParaRPr lang="en-US">
            <a:solidFill>
              <a:sysClr val="windowText" lastClr="000000"/>
            </a:solidFill>
          </a:endParaRPr>
        </a:p>
      </dgm:t>
    </dgm:pt>
    <dgm:pt modelId="{6A889DF8-8F89-41B8-9126-03A62CFA440F}">
      <dgm:prSet phldrT="[Text]" custT="1"/>
      <dgm:spPr/>
      <dgm:t>
        <a:bodyPr/>
        <a:lstStyle/>
        <a:p>
          <a:r>
            <a:rPr lang="en-US" sz="1200">
              <a:solidFill>
                <a:schemeClr val="bg1"/>
              </a:solidFill>
            </a:rPr>
            <a:t>Internal Assessments</a:t>
          </a:r>
        </a:p>
      </dgm:t>
    </dgm:pt>
    <dgm:pt modelId="{D50CFCB0-3566-4A0A-842D-30F46AF2259B}" type="parTrans" cxnId="{520002B2-2805-40C0-9311-89F427020800}">
      <dgm:prSet/>
      <dgm:spPr/>
      <dgm:t>
        <a:bodyPr/>
        <a:lstStyle/>
        <a:p>
          <a:endParaRPr lang="en-US">
            <a:solidFill>
              <a:sysClr val="windowText" lastClr="000000"/>
            </a:solidFill>
          </a:endParaRPr>
        </a:p>
      </dgm:t>
    </dgm:pt>
    <dgm:pt modelId="{210C1774-1AA7-4F5E-824C-66DE61CC70C2}" type="sibTrans" cxnId="{520002B2-2805-40C0-9311-89F427020800}">
      <dgm:prSet/>
      <dgm:spPr/>
      <dgm:t>
        <a:bodyPr/>
        <a:lstStyle/>
        <a:p>
          <a:endParaRPr lang="en-US">
            <a:solidFill>
              <a:sysClr val="windowText" lastClr="000000"/>
            </a:solidFill>
          </a:endParaRPr>
        </a:p>
      </dgm:t>
    </dgm:pt>
    <dgm:pt modelId="{5EBDA807-0947-423A-AFA7-0484C7224AC3}">
      <dgm:prSet phldrT="[Text]" custT="1"/>
      <dgm:spPr/>
      <dgm:t>
        <a:bodyPr/>
        <a:lstStyle/>
        <a:p>
          <a:r>
            <a:rPr lang="en-US" sz="1200">
              <a:solidFill>
                <a:schemeClr val="bg1"/>
              </a:solidFill>
            </a:rPr>
            <a:t>Costs</a:t>
          </a:r>
        </a:p>
      </dgm:t>
    </dgm:pt>
    <dgm:pt modelId="{371F526C-0D20-4CA9-BE9C-0B794CDB7AE6}" type="parTrans" cxnId="{087B0BCC-032E-4F4C-A49D-31737919067D}">
      <dgm:prSet/>
      <dgm:spPr/>
      <dgm:t>
        <a:bodyPr/>
        <a:lstStyle/>
        <a:p>
          <a:endParaRPr lang="en-US">
            <a:solidFill>
              <a:sysClr val="windowText" lastClr="000000"/>
            </a:solidFill>
          </a:endParaRPr>
        </a:p>
      </dgm:t>
    </dgm:pt>
    <dgm:pt modelId="{5E3825EF-AA66-40FF-82D4-A5DDC3329C19}" type="sibTrans" cxnId="{087B0BCC-032E-4F4C-A49D-31737919067D}">
      <dgm:prSet/>
      <dgm:spPr/>
      <dgm:t>
        <a:bodyPr/>
        <a:lstStyle/>
        <a:p>
          <a:endParaRPr lang="en-US">
            <a:solidFill>
              <a:sysClr val="windowText" lastClr="000000"/>
            </a:solidFill>
          </a:endParaRPr>
        </a:p>
      </dgm:t>
    </dgm:pt>
    <dgm:pt modelId="{1A4C193C-EBA7-496A-A328-2F0F85C226E5}">
      <dgm:prSet phldrT="[Text]" custT="1"/>
      <dgm:spPr/>
      <dgm:t>
        <a:bodyPr/>
        <a:lstStyle/>
        <a:p>
          <a:r>
            <a:rPr lang="en-US" sz="1000">
              <a:solidFill>
                <a:sysClr val="windowText" lastClr="000000"/>
              </a:solidFill>
            </a:rPr>
            <a:t>Situational Awareness Cameras do not record, and, thus, there are no data to be safeguarded or stored</a:t>
          </a:r>
        </a:p>
      </dgm:t>
    </dgm:pt>
    <dgm:pt modelId="{313B8EC1-F641-459B-96E5-0FF6186C92A8}" type="parTrans" cxnId="{16DD1709-1E6D-4707-B2D9-D91853A5C733}">
      <dgm:prSet/>
      <dgm:spPr/>
      <dgm:t>
        <a:bodyPr/>
        <a:lstStyle/>
        <a:p>
          <a:endParaRPr lang="en-US">
            <a:solidFill>
              <a:sysClr val="windowText" lastClr="000000"/>
            </a:solidFill>
          </a:endParaRPr>
        </a:p>
      </dgm:t>
    </dgm:pt>
    <dgm:pt modelId="{26FF2844-3D41-41F1-9280-F244BAB1E978}" type="sibTrans" cxnId="{16DD1709-1E6D-4707-B2D9-D91853A5C733}">
      <dgm:prSet/>
      <dgm:spPr/>
      <dgm:t>
        <a:bodyPr/>
        <a:lstStyle/>
        <a:p>
          <a:endParaRPr lang="en-US">
            <a:solidFill>
              <a:sysClr val="windowText" lastClr="000000"/>
            </a:solidFill>
          </a:endParaRPr>
        </a:p>
      </dgm:t>
    </dgm:pt>
    <dgm:pt modelId="{4584266E-578E-4624-86A2-9E1CF24B4430}">
      <dgm:prSet phldrT="[Text]" custT="1"/>
      <dgm:spPr/>
      <dgm:t>
        <a:bodyPr/>
        <a:lstStyle/>
        <a:p>
          <a:r>
            <a:rPr lang="en-US" sz="1000">
              <a:solidFill>
                <a:sysClr val="windowText" lastClr="000000"/>
              </a:solidFill>
            </a:rPr>
            <a:t>Situational Awareness Cameras are used to provide additional safety in dangerous situations, and - when used according to the SIR - these cameras are not expected to impact civil liberties or have disproportionate impacts</a:t>
          </a:r>
        </a:p>
      </dgm:t>
    </dgm:pt>
    <dgm:pt modelId="{26FAEB28-B8BD-4151-A530-EEFCC7A1722C}" type="parTrans" cxnId="{738E7910-D65F-4C55-A528-A714E4C3EAC0}">
      <dgm:prSet/>
      <dgm:spPr/>
      <dgm:t>
        <a:bodyPr/>
        <a:lstStyle/>
        <a:p>
          <a:endParaRPr lang="en-US">
            <a:solidFill>
              <a:sysClr val="windowText" lastClr="000000"/>
            </a:solidFill>
          </a:endParaRPr>
        </a:p>
      </dgm:t>
    </dgm:pt>
    <dgm:pt modelId="{D68DC507-250B-40BE-8E83-C302D7E25514}" type="sibTrans" cxnId="{738E7910-D65F-4C55-A528-A714E4C3EAC0}">
      <dgm:prSet/>
      <dgm:spPr/>
      <dgm:t>
        <a:bodyPr/>
        <a:lstStyle/>
        <a:p>
          <a:endParaRPr lang="en-US">
            <a:solidFill>
              <a:sysClr val="windowText" lastClr="000000"/>
            </a:solidFill>
          </a:endParaRPr>
        </a:p>
      </dgm:t>
    </dgm:pt>
    <dgm:pt modelId="{05FC67A9-7B69-4932-B39E-8D9A8E50068A}">
      <dgm:prSet phldrT="[Text]" custT="1"/>
      <dgm:spPr/>
      <dgm:t>
        <a:bodyPr/>
        <a:lstStyle/>
        <a:p>
          <a:r>
            <a:rPr lang="en-US" sz="1000"/>
            <a:t>No new assessments, registered community concerns, or OPA complaints</a:t>
          </a:r>
          <a:endParaRPr lang="en-US" sz="1000">
            <a:solidFill>
              <a:sysClr val="windowText" lastClr="000000"/>
            </a:solidFill>
          </a:endParaRPr>
        </a:p>
      </dgm:t>
    </dgm:pt>
    <dgm:pt modelId="{90675039-BEB4-4390-959D-3525E554C980}" type="parTrans" cxnId="{F56947E4-3767-423F-A3B2-0E2D649F0C40}">
      <dgm:prSet/>
      <dgm:spPr/>
      <dgm:t>
        <a:bodyPr/>
        <a:lstStyle/>
        <a:p>
          <a:endParaRPr lang="en-US">
            <a:solidFill>
              <a:sysClr val="windowText" lastClr="000000"/>
            </a:solidFill>
          </a:endParaRPr>
        </a:p>
      </dgm:t>
    </dgm:pt>
    <dgm:pt modelId="{1FBE385B-A23A-4A8E-BF93-20D7389FB018}" type="sibTrans" cxnId="{F56947E4-3767-423F-A3B2-0E2D649F0C40}">
      <dgm:prSet/>
      <dgm:spPr/>
      <dgm:t>
        <a:bodyPr/>
        <a:lstStyle/>
        <a:p>
          <a:endParaRPr lang="en-US">
            <a:solidFill>
              <a:sysClr val="windowText" lastClr="000000"/>
            </a:solidFill>
          </a:endParaRPr>
        </a:p>
      </dgm:t>
    </dgm:pt>
    <dgm:pt modelId="{68007653-C756-4614-8F3C-F72085767FC1}">
      <dgm:prSet phldrT="[Text]" custT="1"/>
      <dgm:spPr/>
      <dgm:t>
        <a:bodyPr/>
        <a:lstStyle/>
        <a:p>
          <a:r>
            <a:rPr lang="en-US" sz="1000">
              <a:solidFill>
                <a:sysClr val="windowText" lastClr="000000"/>
              </a:solidFill>
            </a:rPr>
            <a:t>No significant changes from the 2022 annual costs, approximately $200</a:t>
          </a:r>
        </a:p>
      </dgm:t>
    </dgm:pt>
    <dgm:pt modelId="{562CE3E3-6F62-4D89-871A-FD59DABF47B6}" type="parTrans" cxnId="{3A4C2EA5-CC1A-4CF3-AEB7-9B6D264AA1E1}">
      <dgm:prSet/>
      <dgm:spPr/>
      <dgm:t>
        <a:bodyPr/>
        <a:lstStyle/>
        <a:p>
          <a:endParaRPr lang="en-US">
            <a:solidFill>
              <a:sysClr val="windowText" lastClr="000000"/>
            </a:solidFill>
          </a:endParaRPr>
        </a:p>
      </dgm:t>
    </dgm:pt>
    <dgm:pt modelId="{263AD1DA-9291-448F-A425-B55A0FCCC49B}" type="sibTrans" cxnId="{3A4C2EA5-CC1A-4CF3-AEB7-9B6D264AA1E1}">
      <dgm:prSet/>
      <dgm:spPr/>
      <dgm:t>
        <a:bodyPr/>
        <a:lstStyle/>
        <a:p>
          <a:endParaRPr lang="en-US">
            <a:solidFill>
              <a:sysClr val="windowText" lastClr="000000"/>
            </a:solidFill>
          </a:endParaRPr>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solidFill>
                <a:schemeClr val="bg1"/>
              </a:solidFill>
            </a:rPr>
            <a:t>Technology Use</a:t>
          </a:r>
        </a:p>
      </dgm:t>
    </dgm:pt>
    <dgm:pt modelId="{2D9D5B55-3F32-47EC-AACF-59131F619CE3}" type="parTrans" cxnId="{3125A52B-4AA5-4CC0-84F3-EED98D244014}">
      <dgm:prSet/>
      <dgm:spPr/>
      <dgm:t>
        <a:bodyPr/>
        <a:lstStyle/>
        <a:p>
          <a:endParaRPr lang="en-US">
            <a:solidFill>
              <a:sysClr val="windowText" lastClr="000000"/>
            </a:solidFill>
          </a:endParaRPr>
        </a:p>
      </dgm:t>
    </dgm:pt>
    <dgm:pt modelId="{CED03A4F-FF7B-4959-928A-B16A7C1C4EF8}" type="sibTrans" cxnId="{3125A52B-4AA5-4CC0-84F3-EED98D244014}">
      <dgm:prSet/>
      <dgm:spPr/>
      <dgm:t>
        <a:bodyPr/>
        <a:lstStyle/>
        <a:p>
          <a:endParaRPr lang="en-US">
            <a:solidFill>
              <a:sysClr val="windowText" lastClr="000000"/>
            </a:solidFill>
          </a:endParaRPr>
        </a:p>
      </dgm:t>
    </dgm:pt>
    <dgm:pt modelId="{8CE42AE3-547D-423A-A5F4-43BC4E1D8F0C}">
      <dgm:prSet phldrT="[Text]" custT="1"/>
      <dgm:spPr/>
      <dgm:t>
        <a:bodyPr/>
        <a:lstStyle/>
        <a:p>
          <a:pPr>
            <a:buFont typeface="Symbol" panose="05050102010706020507" pitchFamily="18" charset="2"/>
            <a:buChar char=""/>
          </a:pPr>
          <a:r>
            <a:rPr lang="en-US" sz="1000">
              <a:solidFill>
                <a:sysClr val="windowText" lastClr="000000"/>
              </a:solidFill>
            </a:rPr>
            <a:t>This technology is used every day, logging all calls (emergency, non-emergency, and dispatch)</a:t>
          </a:r>
        </a:p>
      </dgm:t>
    </dgm:pt>
    <dgm:pt modelId="{BF3DC6B4-C90E-4430-AC70-92E5DE65BFCE}" type="parTrans" cxnId="{2FAA3028-9E26-407B-AE96-83201E53778C}">
      <dgm:prSet/>
      <dgm:spPr/>
      <dgm:t>
        <a:bodyPr/>
        <a:lstStyle/>
        <a:p>
          <a:endParaRPr lang="en-US">
            <a:solidFill>
              <a:sysClr val="windowText" lastClr="000000"/>
            </a:solidFill>
          </a:endParaRPr>
        </a:p>
      </dgm:t>
    </dgm:pt>
    <dgm:pt modelId="{BB820C90-D6DF-4C9A-8922-9C05FEB4D9B2}" type="sibTrans" cxnId="{2FAA3028-9E26-407B-AE96-83201E53778C}">
      <dgm:prSet/>
      <dgm:spPr/>
      <dgm:t>
        <a:bodyPr/>
        <a:lstStyle/>
        <a:p>
          <a:endParaRPr lang="en-US">
            <a:solidFill>
              <a:sysClr val="windowText" lastClr="000000"/>
            </a:solidFill>
          </a:endParaRPr>
        </a:p>
      </dgm:t>
    </dgm:pt>
    <dgm:pt modelId="{D4140B3E-F2BD-444D-A39E-109D1316A462}">
      <dgm:prSet phldrT="[Text]" custT="1"/>
      <dgm:spPr/>
      <dgm:t>
        <a:bodyPr/>
        <a:lstStyle/>
        <a:p>
          <a:r>
            <a:rPr lang="en-US" sz="1200">
              <a:solidFill>
                <a:schemeClr val="bg1"/>
              </a:solidFill>
            </a:rPr>
            <a:t>Data Sharing</a:t>
          </a:r>
        </a:p>
      </dgm:t>
    </dgm:pt>
    <dgm:pt modelId="{52CC808E-F2D3-417E-BD45-D6F47DB7D31B}" type="parTrans" cxnId="{5666FA4E-AFD1-4316-BFB5-C606F6538992}">
      <dgm:prSet/>
      <dgm:spPr/>
      <dgm:t>
        <a:bodyPr/>
        <a:lstStyle/>
        <a:p>
          <a:endParaRPr lang="en-US">
            <a:solidFill>
              <a:sysClr val="windowText" lastClr="000000"/>
            </a:solidFill>
          </a:endParaRPr>
        </a:p>
      </dgm:t>
    </dgm:pt>
    <dgm:pt modelId="{ACC4314C-A05E-42AD-AEF6-6F34E6C08FB1}" type="sibTrans" cxnId="{5666FA4E-AFD1-4316-BFB5-C606F6538992}">
      <dgm:prSet/>
      <dgm:spPr/>
      <dgm:t>
        <a:bodyPr/>
        <a:lstStyle/>
        <a:p>
          <a:endParaRPr lang="en-US">
            <a:solidFill>
              <a:sysClr val="windowText" lastClr="000000"/>
            </a:solidFill>
          </a:endParaRPr>
        </a:p>
      </dgm:t>
    </dgm:pt>
    <dgm:pt modelId="{5333210A-C77D-46E7-B362-30E167DC1AD4}">
      <dgm:prSet phldrT="[Text]" custT="1"/>
      <dgm:spPr/>
      <dgm:t>
        <a:bodyPr/>
        <a:lstStyle/>
        <a:p>
          <a:r>
            <a:rPr lang="en-US" sz="1000">
              <a:solidFill>
                <a:sysClr val="windowText" lastClr="000000"/>
              </a:solidFill>
            </a:rPr>
            <a:t>This technology generates many records. In prior years, CARE personnel shared between four and five thousand calls relevant to investigations</a:t>
          </a:r>
        </a:p>
      </dgm:t>
    </dgm:pt>
    <dgm:pt modelId="{AD61E923-8CCA-4EC4-977B-B0A7D8EDD492}" type="parTrans" cxnId="{FFA74BC2-2EAD-44A5-A7EC-B202971BA0D8}">
      <dgm:prSet/>
      <dgm:spPr/>
      <dgm:t>
        <a:bodyPr/>
        <a:lstStyle/>
        <a:p>
          <a:endParaRPr lang="en-US">
            <a:solidFill>
              <a:sysClr val="windowText" lastClr="000000"/>
            </a:solidFill>
          </a:endParaRPr>
        </a:p>
      </dgm:t>
    </dgm:pt>
    <dgm:pt modelId="{356841D4-A26B-4C85-A071-49B48EC297B4}" type="sibTrans" cxnId="{FFA74BC2-2EAD-44A5-A7EC-B202971BA0D8}">
      <dgm:prSet/>
      <dgm:spPr/>
      <dgm:t>
        <a:bodyPr/>
        <a:lstStyle/>
        <a:p>
          <a:endParaRPr lang="en-US">
            <a:solidFill>
              <a:sysClr val="windowText" lastClr="000000"/>
            </a:solidFill>
          </a:endParaRPr>
        </a:p>
      </dgm:t>
    </dgm:pt>
    <dgm:pt modelId="{81D871E1-083C-4139-A698-04C3C7AD4DE3}">
      <dgm:prSet phldrT="[Text]" custT="1"/>
      <dgm:spPr/>
      <dgm:t>
        <a:bodyPr/>
        <a:lstStyle/>
        <a:p>
          <a:r>
            <a:rPr lang="en-US" sz="1200">
              <a:solidFill>
                <a:schemeClr val="bg1"/>
              </a:solidFill>
            </a:rPr>
            <a:t>Data Security</a:t>
          </a:r>
        </a:p>
      </dgm:t>
    </dgm:pt>
    <dgm:pt modelId="{50E228A3-CE35-47E6-8613-E00C3D0A0425}" type="parTrans" cxnId="{B5574DA9-E419-4507-B0CD-FC8E039B3862}">
      <dgm:prSet/>
      <dgm:spPr/>
      <dgm:t>
        <a:bodyPr/>
        <a:lstStyle/>
        <a:p>
          <a:endParaRPr lang="en-US">
            <a:solidFill>
              <a:sysClr val="windowText" lastClr="000000"/>
            </a:solidFill>
          </a:endParaRPr>
        </a:p>
      </dgm:t>
    </dgm:pt>
    <dgm:pt modelId="{1EAFF4AE-32BD-41DB-97DB-CA79BB135DAF}" type="sibTrans" cxnId="{B5574DA9-E419-4507-B0CD-FC8E039B3862}">
      <dgm:prSet/>
      <dgm:spPr/>
      <dgm:t>
        <a:bodyPr/>
        <a:lstStyle/>
        <a:p>
          <a:endParaRPr lang="en-US">
            <a:solidFill>
              <a:sysClr val="windowText" lastClr="000000"/>
            </a:solidFill>
          </a:endParaRPr>
        </a:p>
      </dgm:t>
    </dgm:pt>
    <dgm:pt modelId="{C7285B9B-E7F5-45BF-B21B-B66A7D1AF846}">
      <dgm:prSet phldrT="[Text]" custT="1"/>
      <dgm:spPr/>
      <dgm:t>
        <a:bodyPr/>
        <a:lstStyle/>
        <a:p>
          <a:r>
            <a:rPr lang="en-US" sz="1200">
              <a:solidFill>
                <a:schemeClr val="bg1"/>
              </a:solidFill>
            </a:rPr>
            <a:t>Potentail Civil Liberties Impacts</a:t>
          </a:r>
        </a:p>
      </dgm:t>
    </dgm:pt>
    <dgm:pt modelId="{FCD6A876-5056-4CA7-97C3-65580005F9B7}" type="parTrans" cxnId="{28F53BB9-38C7-4474-8216-31EEE41DA480}">
      <dgm:prSet/>
      <dgm:spPr/>
      <dgm:t>
        <a:bodyPr/>
        <a:lstStyle/>
        <a:p>
          <a:endParaRPr lang="en-US">
            <a:solidFill>
              <a:sysClr val="windowText" lastClr="000000"/>
            </a:solidFill>
          </a:endParaRPr>
        </a:p>
      </dgm:t>
    </dgm:pt>
    <dgm:pt modelId="{D333400A-8D17-4513-9604-04D81F4E3479}" type="sibTrans" cxnId="{28F53BB9-38C7-4474-8216-31EEE41DA480}">
      <dgm:prSet/>
      <dgm:spPr/>
      <dgm:t>
        <a:bodyPr/>
        <a:lstStyle/>
        <a:p>
          <a:endParaRPr lang="en-US">
            <a:solidFill>
              <a:sysClr val="windowText" lastClr="000000"/>
            </a:solidFill>
          </a:endParaRPr>
        </a:p>
      </dgm:t>
    </dgm:pt>
    <dgm:pt modelId="{6A889DF8-8F89-41B8-9126-03A62CFA440F}">
      <dgm:prSet phldrT="[Text]" custT="1"/>
      <dgm:spPr/>
      <dgm:t>
        <a:bodyPr/>
        <a:lstStyle/>
        <a:p>
          <a:r>
            <a:rPr lang="en-US" sz="1200">
              <a:solidFill>
                <a:schemeClr val="bg1"/>
              </a:solidFill>
            </a:rPr>
            <a:t>Internal Assessments</a:t>
          </a:r>
        </a:p>
      </dgm:t>
    </dgm:pt>
    <dgm:pt modelId="{D50CFCB0-3566-4A0A-842D-30F46AF2259B}" type="parTrans" cxnId="{520002B2-2805-40C0-9311-89F427020800}">
      <dgm:prSet/>
      <dgm:spPr/>
      <dgm:t>
        <a:bodyPr/>
        <a:lstStyle/>
        <a:p>
          <a:endParaRPr lang="en-US">
            <a:solidFill>
              <a:sysClr val="windowText" lastClr="000000"/>
            </a:solidFill>
          </a:endParaRPr>
        </a:p>
      </dgm:t>
    </dgm:pt>
    <dgm:pt modelId="{210C1774-1AA7-4F5E-824C-66DE61CC70C2}" type="sibTrans" cxnId="{520002B2-2805-40C0-9311-89F427020800}">
      <dgm:prSet/>
      <dgm:spPr/>
      <dgm:t>
        <a:bodyPr/>
        <a:lstStyle/>
        <a:p>
          <a:endParaRPr lang="en-US">
            <a:solidFill>
              <a:sysClr val="windowText" lastClr="000000"/>
            </a:solidFill>
          </a:endParaRPr>
        </a:p>
      </dgm:t>
    </dgm:pt>
    <dgm:pt modelId="{5EBDA807-0947-423A-AFA7-0484C7224AC3}">
      <dgm:prSet phldrT="[Text]" custT="1"/>
      <dgm:spPr/>
      <dgm:t>
        <a:bodyPr/>
        <a:lstStyle/>
        <a:p>
          <a:r>
            <a:rPr lang="en-US" sz="1200">
              <a:solidFill>
                <a:schemeClr val="bg1"/>
              </a:solidFill>
            </a:rPr>
            <a:t>Costs</a:t>
          </a:r>
        </a:p>
      </dgm:t>
    </dgm:pt>
    <dgm:pt modelId="{371F526C-0D20-4CA9-BE9C-0B794CDB7AE6}" type="parTrans" cxnId="{087B0BCC-032E-4F4C-A49D-31737919067D}">
      <dgm:prSet/>
      <dgm:spPr/>
      <dgm:t>
        <a:bodyPr/>
        <a:lstStyle/>
        <a:p>
          <a:endParaRPr lang="en-US">
            <a:solidFill>
              <a:sysClr val="windowText" lastClr="000000"/>
            </a:solidFill>
          </a:endParaRPr>
        </a:p>
      </dgm:t>
    </dgm:pt>
    <dgm:pt modelId="{5E3825EF-AA66-40FF-82D4-A5DDC3329C19}" type="sibTrans" cxnId="{087B0BCC-032E-4F4C-A49D-31737919067D}">
      <dgm:prSet/>
      <dgm:spPr/>
      <dgm:t>
        <a:bodyPr/>
        <a:lstStyle/>
        <a:p>
          <a:endParaRPr lang="en-US">
            <a:solidFill>
              <a:sysClr val="windowText" lastClr="000000"/>
            </a:solidFill>
          </a:endParaRPr>
        </a:p>
      </dgm:t>
    </dgm:pt>
    <dgm:pt modelId="{1A4C193C-EBA7-496A-A328-2F0F85C226E5}">
      <dgm:prSet phldrT="[Text]" custT="1"/>
      <dgm:spPr/>
      <dgm:t>
        <a:bodyPr/>
        <a:lstStyle/>
        <a:p>
          <a:r>
            <a:rPr lang="en-US" sz="1000">
              <a:solidFill>
                <a:sysClr val="windowText" lastClr="000000"/>
              </a:solidFill>
            </a:rPr>
            <a:t>Calls are stored for 90 days before being purged. Any calls related to ongoing investigations are stored in a secure server with limited access</a:t>
          </a:r>
        </a:p>
      </dgm:t>
    </dgm:pt>
    <dgm:pt modelId="{313B8EC1-F641-459B-96E5-0FF6186C92A8}" type="parTrans" cxnId="{16DD1709-1E6D-4707-B2D9-D91853A5C733}">
      <dgm:prSet/>
      <dgm:spPr/>
      <dgm:t>
        <a:bodyPr/>
        <a:lstStyle/>
        <a:p>
          <a:endParaRPr lang="en-US">
            <a:solidFill>
              <a:sysClr val="windowText" lastClr="000000"/>
            </a:solidFill>
          </a:endParaRPr>
        </a:p>
      </dgm:t>
    </dgm:pt>
    <dgm:pt modelId="{26FF2844-3D41-41F1-9280-F244BAB1E978}" type="sibTrans" cxnId="{16DD1709-1E6D-4707-B2D9-D91853A5C733}">
      <dgm:prSet/>
      <dgm:spPr/>
      <dgm:t>
        <a:bodyPr/>
        <a:lstStyle/>
        <a:p>
          <a:endParaRPr lang="en-US">
            <a:solidFill>
              <a:sysClr val="windowText" lastClr="000000"/>
            </a:solidFill>
          </a:endParaRPr>
        </a:p>
      </dgm:t>
    </dgm:pt>
    <dgm:pt modelId="{4584266E-578E-4624-86A2-9E1CF24B4430}">
      <dgm:prSet phldrT="[Text]" custT="1"/>
      <dgm:spPr/>
      <dgm:t>
        <a:bodyPr/>
        <a:lstStyle/>
        <a:p>
          <a:r>
            <a:rPr lang="en-US" sz="1000">
              <a:solidFill>
                <a:sysClr val="windowText" lastClr="000000"/>
              </a:solidFill>
            </a:rPr>
            <a:t>The technology itself is not likely to impact civil liberties or have disproportionate impacts on disadvantaged populations</a:t>
          </a:r>
        </a:p>
      </dgm:t>
    </dgm:pt>
    <dgm:pt modelId="{26FAEB28-B8BD-4151-A530-EEFCC7A1722C}" type="parTrans" cxnId="{738E7910-D65F-4C55-A528-A714E4C3EAC0}">
      <dgm:prSet/>
      <dgm:spPr/>
      <dgm:t>
        <a:bodyPr/>
        <a:lstStyle/>
        <a:p>
          <a:endParaRPr lang="en-US">
            <a:solidFill>
              <a:sysClr val="windowText" lastClr="000000"/>
            </a:solidFill>
          </a:endParaRPr>
        </a:p>
      </dgm:t>
    </dgm:pt>
    <dgm:pt modelId="{D68DC507-250B-40BE-8E83-C302D7E25514}" type="sibTrans" cxnId="{738E7910-D65F-4C55-A528-A714E4C3EAC0}">
      <dgm:prSet/>
      <dgm:spPr/>
      <dgm:t>
        <a:bodyPr/>
        <a:lstStyle/>
        <a:p>
          <a:endParaRPr lang="en-US">
            <a:solidFill>
              <a:sysClr val="windowText" lastClr="000000"/>
            </a:solidFill>
          </a:endParaRPr>
        </a:p>
      </dgm:t>
    </dgm:pt>
    <dgm:pt modelId="{05FC67A9-7B69-4932-B39E-8D9A8E50068A}">
      <dgm:prSet phldrT="[Text]" custT="1"/>
      <dgm:spPr/>
      <dgm:t>
        <a:bodyPr/>
        <a:lstStyle/>
        <a:p>
          <a:r>
            <a:rPr lang="en-US" sz="1000"/>
            <a:t>No new assessments, registered community concerns, or OPA complaints</a:t>
          </a:r>
          <a:endParaRPr lang="en-US" sz="1000">
            <a:solidFill>
              <a:sysClr val="windowText" lastClr="000000"/>
            </a:solidFill>
          </a:endParaRPr>
        </a:p>
      </dgm:t>
    </dgm:pt>
    <dgm:pt modelId="{90675039-BEB4-4390-959D-3525E554C980}" type="parTrans" cxnId="{F56947E4-3767-423F-A3B2-0E2D649F0C40}">
      <dgm:prSet/>
      <dgm:spPr/>
      <dgm:t>
        <a:bodyPr/>
        <a:lstStyle/>
        <a:p>
          <a:endParaRPr lang="en-US">
            <a:solidFill>
              <a:sysClr val="windowText" lastClr="000000"/>
            </a:solidFill>
          </a:endParaRPr>
        </a:p>
      </dgm:t>
    </dgm:pt>
    <dgm:pt modelId="{1FBE385B-A23A-4A8E-BF93-20D7389FB018}" type="sibTrans" cxnId="{F56947E4-3767-423F-A3B2-0E2D649F0C40}">
      <dgm:prSet/>
      <dgm:spPr/>
      <dgm:t>
        <a:bodyPr/>
        <a:lstStyle/>
        <a:p>
          <a:endParaRPr lang="en-US">
            <a:solidFill>
              <a:sysClr val="windowText" lastClr="000000"/>
            </a:solidFill>
          </a:endParaRPr>
        </a:p>
      </dgm:t>
    </dgm:pt>
    <dgm:pt modelId="{68007653-C756-4614-8F3C-F72085767FC1}">
      <dgm:prSet phldrT="[Text]" custT="1"/>
      <dgm:spPr/>
      <dgm:t>
        <a:bodyPr/>
        <a:lstStyle/>
        <a:p>
          <a:r>
            <a:rPr lang="en-US" sz="1000">
              <a:solidFill>
                <a:sysClr val="windowText" lastClr="000000"/>
              </a:solidFill>
            </a:rPr>
            <a:t>No significant changes from the 2022 annual costs, approximately $50,000</a:t>
          </a:r>
          <a:endParaRPr lang="en-US" sz="1300">
            <a:solidFill>
              <a:sysClr val="windowText" lastClr="000000"/>
            </a:solidFill>
          </a:endParaRPr>
        </a:p>
      </dgm:t>
    </dgm:pt>
    <dgm:pt modelId="{562CE3E3-6F62-4D89-871A-FD59DABF47B6}" type="parTrans" cxnId="{3A4C2EA5-CC1A-4CF3-AEB7-9B6D264AA1E1}">
      <dgm:prSet/>
      <dgm:spPr/>
      <dgm:t>
        <a:bodyPr/>
        <a:lstStyle/>
        <a:p>
          <a:endParaRPr lang="en-US">
            <a:solidFill>
              <a:sysClr val="windowText" lastClr="000000"/>
            </a:solidFill>
          </a:endParaRPr>
        </a:p>
      </dgm:t>
    </dgm:pt>
    <dgm:pt modelId="{263AD1DA-9291-448F-A425-B55A0FCCC49B}" type="sibTrans" cxnId="{3A4C2EA5-CC1A-4CF3-AEB7-9B6D264AA1E1}">
      <dgm:prSet/>
      <dgm:spPr/>
      <dgm:t>
        <a:bodyPr/>
        <a:lstStyle/>
        <a:p>
          <a:endParaRPr lang="en-US">
            <a:solidFill>
              <a:sysClr val="windowText" lastClr="000000"/>
            </a:solidFill>
          </a:endParaRPr>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solidFill>
                <a:schemeClr val="bg1"/>
              </a:solidFill>
            </a:rPr>
            <a:t>Technology Use</a:t>
          </a:r>
        </a:p>
      </dgm:t>
    </dgm:pt>
    <dgm:pt modelId="{2D9D5B55-3F32-47EC-AACF-59131F619CE3}" type="parTrans" cxnId="{3125A52B-4AA5-4CC0-84F3-EED98D244014}">
      <dgm:prSet/>
      <dgm:spPr/>
      <dgm:t>
        <a:bodyPr/>
        <a:lstStyle/>
        <a:p>
          <a:endParaRPr lang="en-US">
            <a:solidFill>
              <a:sysClr val="windowText" lastClr="000000"/>
            </a:solidFill>
          </a:endParaRPr>
        </a:p>
      </dgm:t>
    </dgm:pt>
    <dgm:pt modelId="{CED03A4F-FF7B-4959-928A-B16A7C1C4EF8}" type="sibTrans" cxnId="{3125A52B-4AA5-4CC0-84F3-EED98D244014}">
      <dgm:prSet/>
      <dgm:spPr/>
      <dgm:t>
        <a:bodyPr/>
        <a:lstStyle/>
        <a:p>
          <a:endParaRPr lang="en-US">
            <a:solidFill>
              <a:sysClr val="windowText" lastClr="000000"/>
            </a:solidFill>
          </a:endParaRPr>
        </a:p>
      </dgm:t>
    </dgm:pt>
    <dgm:pt modelId="{8CE42AE3-547D-423A-A5F4-43BC4E1D8F0C}">
      <dgm:prSet phldrT="[Text]"/>
      <dgm:spPr/>
      <dgm:t>
        <a:bodyPr/>
        <a:lstStyle/>
        <a:p>
          <a:pPr>
            <a:buFont typeface="Symbol" panose="05050102010706020507" pitchFamily="18" charset="2"/>
            <a:buChar char=""/>
          </a:pPr>
          <a:r>
            <a:rPr lang="en-US">
              <a:solidFill>
                <a:sysClr val="windowText" lastClr="000000"/>
              </a:solidFill>
            </a:rPr>
            <a:t>RTCC personnel use this technology infrequently and is generally used for crime trend analyses and to visualize complex criminal conspiracies and cases</a:t>
          </a:r>
        </a:p>
      </dgm:t>
    </dgm:pt>
    <dgm:pt modelId="{BF3DC6B4-C90E-4430-AC70-92E5DE65BFCE}" type="parTrans" cxnId="{2FAA3028-9E26-407B-AE96-83201E53778C}">
      <dgm:prSet/>
      <dgm:spPr/>
      <dgm:t>
        <a:bodyPr/>
        <a:lstStyle/>
        <a:p>
          <a:endParaRPr lang="en-US">
            <a:solidFill>
              <a:sysClr val="windowText" lastClr="000000"/>
            </a:solidFill>
          </a:endParaRPr>
        </a:p>
      </dgm:t>
    </dgm:pt>
    <dgm:pt modelId="{BB820C90-D6DF-4C9A-8922-9C05FEB4D9B2}" type="sibTrans" cxnId="{2FAA3028-9E26-407B-AE96-83201E53778C}">
      <dgm:prSet/>
      <dgm:spPr/>
      <dgm:t>
        <a:bodyPr/>
        <a:lstStyle/>
        <a:p>
          <a:endParaRPr lang="en-US">
            <a:solidFill>
              <a:sysClr val="windowText" lastClr="000000"/>
            </a:solidFill>
          </a:endParaRPr>
        </a:p>
      </dgm:t>
    </dgm:pt>
    <dgm:pt modelId="{D4140B3E-F2BD-444D-A39E-109D1316A462}">
      <dgm:prSet phldrT="[Text]" custT="1"/>
      <dgm:spPr/>
      <dgm:t>
        <a:bodyPr/>
        <a:lstStyle/>
        <a:p>
          <a:r>
            <a:rPr lang="en-US" sz="1200">
              <a:solidFill>
                <a:schemeClr val="bg1"/>
              </a:solidFill>
            </a:rPr>
            <a:t>Data Sharing</a:t>
          </a:r>
        </a:p>
      </dgm:t>
    </dgm:pt>
    <dgm:pt modelId="{52CC808E-F2D3-417E-BD45-D6F47DB7D31B}" type="parTrans" cxnId="{5666FA4E-AFD1-4316-BFB5-C606F6538992}">
      <dgm:prSet/>
      <dgm:spPr/>
      <dgm:t>
        <a:bodyPr/>
        <a:lstStyle/>
        <a:p>
          <a:endParaRPr lang="en-US">
            <a:solidFill>
              <a:sysClr val="windowText" lastClr="000000"/>
            </a:solidFill>
          </a:endParaRPr>
        </a:p>
      </dgm:t>
    </dgm:pt>
    <dgm:pt modelId="{ACC4314C-A05E-42AD-AEF6-6F34E6C08FB1}" type="sibTrans" cxnId="{5666FA4E-AFD1-4316-BFB5-C606F6538992}">
      <dgm:prSet/>
      <dgm:spPr/>
      <dgm:t>
        <a:bodyPr/>
        <a:lstStyle/>
        <a:p>
          <a:endParaRPr lang="en-US">
            <a:solidFill>
              <a:sysClr val="windowText" lastClr="000000"/>
            </a:solidFill>
          </a:endParaRPr>
        </a:p>
      </dgm:t>
    </dgm:pt>
    <dgm:pt modelId="{5333210A-C77D-46E7-B362-30E167DC1AD4}">
      <dgm:prSet phldrT="[Text]"/>
      <dgm:spPr/>
      <dgm:t>
        <a:bodyPr/>
        <a:lstStyle/>
        <a:p>
          <a:r>
            <a:rPr lang="en-US">
              <a:solidFill>
                <a:sysClr val="windowText" lastClr="000000"/>
              </a:solidFill>
            </a:rPr>
            <a:t>The technology itself does not collect or create surveillance data; rather, it visualizes investigation information. Visualizations may be shared with courts when the investigation is complete and moves into prosecution</a:t>
          </a:r>
        </a:p>
      </dgm:t>
    </dgm:pt>
    <dgm:pt modelId="{AD61E923-8CCA-4EC4-977B-B0A7D8EDD492}" type="parTrans" cxnId="{FFA74BC2-2EAD-44A5-A7EC-B202971BA0D8}">
      <dgm:prSet/>
      <dgm:spPr/>
      <dgm:t>
        <a:bodyPr/>
        <a:lstStyle/>
        <a:p>
          <a:endParaRPr lang="en-US">
            <a:solidFill>
              <a:sysClr val="windowText" lastClr="000000"/>
            </a:solidFill>
          </a:endParaRPr>
        </a:p>
      </dgm:t>
    </dgm:pt>
    <dgm:pt modelId="{356841D4-A26B-4C85-A071-49B48EC297B4}" type="sibTrans" cxnId="{FFA74BC2-2EAD-44A5-A7EC-B202971BA0D8}">
      <dgm:prSet/>
      <dgm:spPr/>
      <dgm:t>
        <a:bodyPr/>
        <a:lstStyle/>
        <a:p>
          <a:endParaRPr lang="en-US">
            <a:solidFill>
              <a:sysClr val="windowText" lastClr="000000"/>
            </a:solidFill>
          </a:endParaRPr>
        </a:p>
      </dgm:t>
    </dgm:pt>
    <dgm:pt modelId="{81D871E1-083C-4139-A698-04C3C7AD4DE3}">
      <dgm:prSet phldrT="[Text]" custT="1"/>
      <dgm:spPr/>
      <dgm:t>
        <a:bodyPr/>
        <a:lstStyle/>
        <a:p>
          <a:r>
            <a:rPr lang="en-US" sz="1200">
              <a:solidFill>
                <a:schemeClr val="bg1"/>
              </a:solidFill>
            </a:rPr>
            <a:t>Data Security</a:t>
          </a:r>
        </a:p>
      </dgm:t>
    </dgm:pt>
    <dgm:pt modelId="{50E228A3-CE35-47E6-8613-E00C3D0A0425}" type="parTrans" cxnId="{B5574DA9-E419-4507-B0CD-FC8E039B3862}">
      <dgm:prSet/>
      <dgm:spPr/>
      <dgm:t>
        <a:bodyPr/>
        <a:lstStyle/>
        <a:p>
          <a:endParaRPr lang="en-US">
            <a:solidFill>
              <a:sysClr val="windowText" lastClr="000000"/>
            </a:solidFill>
          </a:endParaRPr>
        </a:p>
      </dgm:t>
    </dgm:pt>
    <dgm:pt modelId="{1EAFF4AE-32BD-41DB-97DB-CA79BB135DAF}" type="sibTrans" cxnId="{B5574DA9-E419-4507-B0CD-FC8E039B3862}">
      <dgm:prSet/>
      <dgm:spPr/>
      <dgm:t>
        <a:bodyPr/>
        <a:lstStyle/>
        <a:p>
          <a:endParaRPr lang="en-US">
            <a:solidFill>
              <a:sysClr val="windowText" lastClr="000000"/>
            </a:solidFill>
          </a:endParaRPr>
        </a:p>
      </dgm:t>
    </dgm:pt>
    <dgm:pt modelId="{C7285B9B-E7F5-45BF-B21B-B66A7D1AF846}">
      <dgm:prSet phldrT="[Text]" custT="1"/>
      <dgm:spPr/>
      <dgm:t>
        <a:bodyPr/>
        <a:lstStyle/>
        <a:p>
          <a:r>
            <a:rPr lang="en-US" sz="1200">
              <a:solidFill>
                <a:schemeClr val="bg1"/>
              </a:solidFill>
            </a:rPr>
            <a:t>Potentail Civil Liberties Impacts</a:t>
          </a:r>
        </a:p>
      </dgm:t>
    </dgm:pt>
    <dgm:pt modelId="{FCD6A876-5056-4CA7-97C3-65580005F9B7}" type="parTrans" cxnId="{28F53BB9-38C7-4474-8216-31EEE41DA480}">
      <dgm:prSet/>
      <dgm:spPr/>
      <dgm:t>
        <a:bodyPr/>
        <a:lstStyle/>
        <a:p>
          <a:endParaRPr lang="en-US">
            <a:solidFill>
              <a:sysClr val="windowText" lastClr="000000"/>
            </a:solidFill>
          </a:endParaRPr>
        </a:p>
      </dgm:t>
    </dgm:pt>
    <dgm:pt modelId="{D333400A-8D17-4513-9604-04D81F4E3479}" type="sibTrans" cxnId="{28F53BB9-38C7-4474-8216-31EEE41DA480}">
      <dgm:prSet/>
      <dgm:spPr/>
      <dgm:t>
        <a:bodyPr/>
        <a:lstStyle/>
        <a:p>
          <a:endParaRPr lang="en-US">
            <a:solidFill>
              <a:sysClr val="windowText" lastClr="000000"/>
            </a:solidFill>
          </a:endParaRPr>
        </a:p>
      </dgm:t>
    </dgm:pt>
    <dgm:pt modelId="{6A889DF8-8F89-41B8-9126-03A62CFA440F}">
      <dgm:prSet phldrT="[Text]" custT="1"/>
      <dgm:spPr/>
      <dgm:t>
        <a:bodyPr/>
        <a:lstStyle/>
        <a:p>
          <a:r>
            <a:rPr lang="en-US" sz="1200">
              <a:solidFill>
                <a:schemeClr val="bg1"/>
              </a:solidFill>
            </a:rPr>
            <a:t>Internal Assessments</a:t>
          </a:r>
        </a:p>
      </dgm:t>
    </dgm:pt>
    <dgm:pt modelId="{D50CFCB0-3566-4A0A-842D-30F46AF2259B}" type="parTrans" cxnId="{520002B2-2805-40C0-9311-89F427020800}">
      <dgm:prSet/>
      <dgm:spPr/>
      <dgm:t>
        <a:bodyPr/>
        <a:lstStyle/>
        <a:p>
          <a:endParaRPr lang="en-US">
            <a:solidFill>
              <a:sysClr val="windowText" lastClr="000000"/>
            </a:solidFill>
          </a:endParaRPr>
        </a:p>
      </dgm:t>
    </dgm:pt>
    <dgm:pt modelId="{210C1774-1AA7-4F5E-824C-66DE61CC70C2}" type="sibTrans" cxnId="{520002B2-2805-40C0-9311-89F427020800}">
      <dgm:prSet/>
      <dgm:spPr/>
      <dgm:t>
        <a:bodyPr/>
        <a:lstStyle/>
        <a:p>
          <a:endParaRPr lang="en-US">
            <a:solidFill>
              <a:sysClr val="windowText" lastClr="000000"/>
            </a:solidFill>
          </a:endParaRPr>
        </a:p>
      </dgm:t>
    </dgm:pt>
    <dgm:pt modelId="{5EBDA807-0947-423A-AFA7-0484C7224AC3}">
      <dgm:prSet phldrT="[Text]" custT="1"/>
      <dgm:spPr/>
      <dgm:t>
        <a:bodyPr/>
        <a:lstStyle/>
        <a:p>
          <a:r>
            <a:rPr lang="en-US" sz="1200">
              <a:solidFill>
                <a:schemeClr val="bg1"/>
              </a:solidFill>
            </a:rPr>
            <a:t>Costs</a:t>
          </a:r>
        </a:p>
      </dgm:t>
    </dgm:pt>
    <dgm:pt modelId="{371F526C-0D20-4CA9-BE9C-0B794CDB7AE6}" type="parTrans" cxnId="{087B0BCC-032E-4F4C-A49D-31737919067D}">
      <dgm:prSet/>
      <dgm:spPr/>
      <dgm:t>
        <a:bodyPr/>
        <a:lstStyle/>
        <a:p>
          <a:endParaRPr lang="en-US">
            <a:solidFill>
              <a:sysClr val="windowText" lastClr="000000"/>
            </a:solidFill>
          </a:endParaRPr>
        </a:p>
      </dgm:t>
    </dgm:pt>
    <dgm:pt modelId="{5E3825EF-AA66-40FF-82D4-A5DDC3329C19}" type="sibTrans" cxnId="{087B0BCC-032E-4F4C-A49D-31737919067D}">
      <dgm:prSet/>
      <dgm:spPr/>
      <dgm:t>
        <a:bodyPr/>
        <a:lstStyle/>
        <a:p>
          <a:endParaRPr lang="en-US">
            <a:solidFill>
              <a:sysClr val="windowText" lastClr="000000"/>
            </a:solidFill>
          </a:endParaRPr>
        </a:p>
      </dgm:t>
    </dgm:pt>
    <dgm:pt modelId="{1A4C193C-EBA7-496A-A328-2F0F85C226E5}">
      <dgm:prSet phldrT="[Text]"/>
      <dgm:spPr/>
      <dgm:t>
        <a:bodyPr/>
        <a:lstStyle/>
        <a:p>
          <a:r>
            <a:rPr lang="en-US">
              <a:solidFill>
                <a:sysClr val="windowText" lastClr="000000"/>
              </a:solidFill>
            </a:rPr>
            <a:t>The technology itself does not collect or create surveillance data; those data are secured in CJIS-compliant databases. Visualizations are stored in a local server operated by RTCC personnel</a:t>
          </a:r>
        </a:p>
      </dgm:t>
    </dgm:pt>
    <dgm:pt modelId="{313B8EC1-F641-459B-96E5-0FF6186C92A8}" type="parTrans" cxnId="{16DD1709-1E6D-4707-B2D9-D91853A5C733}">
      <dgm:prSet/>
      <dgm:spPr/>
      <dgm:t>
        <a:bodyPr/>
        <a:lstStyle/>
        <a:p>
          <a:endParaRPr lang="en-US">
            <a:solidFill>
              <a:sysClr val="windowText" lastClr="000000"/>
            </a:solidFill>
          </a:endParaRPr>
        </a:p>
      </dgm:t>
    </dgm:pt>
    <dgm:pt modelId="{26FF2844-3D41-41F1-9280-F244BAB1E978}" type="sibTrans" cxnId="{16DD1709-1E6D-4707-B2D9-D91853A5C733}">
      <dgm:prSet/>
      <dgm:spPr/>
      <dgm:t>
        <a:bodyPr/>
        <a:lstStyle/>
        <a:p>
          <a:endParaRPr lang="en-US">
            <a:solidFill>
              <a:sysClr val="windowText" lastClr="000000"/>
            </a:solidFill>
          </a:endParaRPr>
        </a:p>
      </dgm:t>
    </dgm:pt>
    <dgm:pt modelId="{4584266E-578E-4624-86A2-9E1CF24B4430}">
      <dgm:prSet phldrT="[Text]"/>
      <dgm:spPr/>
      <dgm:t>
        <a:bodyPr/>
        <a:lstStyle/>
        <a:p>
          <a:r>
            <a:rPr lang="en-US">
              <a:solidFill>
                <a:sysClr val="windowText" lastClr="000000"/>
              </a:solidFill>
            </a:rPr>
            <a:t>The technology itself is not likely to impact civil liberties or have disproportionate impacts on disadvantaged populations</a:t>
          </a:r>
        </a:p>
      </dgm:t>
    </dgm:pt>
    <dgm:pt modelId="{26FAEB28-B8BD-4151-A530-EEFCC7A1722C}" type="parTrans" cxnId="{738E7910-D65F-4C55-A528-A714E4C3EAC0}">
      <dgm:prSet/>
      <dgm:spPr/>
      <dgm:t>
        <a:bodyPr/>
        <a:lstStyle/>
        <a:p>
          <a:endParaRPr lang="en-US">
            <a:solidFill>
              <a:sysClr val="windowText" lastClr="000000"/>
            </a:solidFill>
          </a:endParaRPr>
        </a:p>
      </dgm:t>
    </dgm:pt>
    <dgm:pt modelId="{D68DC507-250B-40BE-8E83-C302D7E25514}" type="sibTrans" cxnId="{738E7910-D65F-4C55-A528-A714E4C3EAC0}">
      <dgm:prSet/>
      <dgm:spPr/>
      <dgm:t>
        <a:bodyPr/>
        <a:lstStyle/>
        <a:p>
          <a:endParaRPr lang="en-US">
            <a:solidFill>
              <a:sysClr val="windowText" lastClr="000000"/>
            </a:solidFill>
          </a:endParaRPr>
        </a:p>
      </dgm:t>
    </dgm:pt>
    <dgm:pt modelId="{05FC67A9-7B69-4932-B39E-8D9A8E50068A}">
      <dgm:prSet phldrT="[Text]"/>
      <dgm:spPr/>
      <dgm:t>
        <a:bodyPr/>
        <a:lstStyle/>
        <a:p>
          <a:r>
            <a:rPr lang="en-US"/>
            <a:t>No new assessments, registered community concerns, or OPA complaints</a:t>
          </a:r>
          <a:endParaRPr lang="en-US">
            <a:solidFill>
              <a:sysClr val="windowText" lastClr="000000"/>
            </a:solidFill>
          </a:endParaRPr>
        </a:p>
      </dgm:t>
    </dgm:pt>
    <dgm:pt modelId="{90675039-BEB4-4390-959D-3525E554C980}" type="parTrans" cxnId="{F56947E4-3767-423F-A3B2-0E2D649F0C40}">
      <dgm:prSet/>
      <dgm:spPr/>
      <dgm:t>
        <a:bodyPr/>
        <a:lstStyle/>
        <a:p>
          <a:endParaRPr lang="en-US">
            <a:solidFill>
              <a:sysClr val="windowText" lastClr="000000"/>
            </a:solidFill>
          </a:endParaRPr>
        </a:p>
      </dgm:t>
    </dgm:pt>
    <dgm:pt modelId="{1FBE385B-A23A-4A8E-BF93-20D7389FB018}" type="sibTrans" cxnId="{F56947E4-3767-423F-A3B2-0E2D649F0C40}">
      <dgm:prSet/>
      <dgm:spPr/>
      <dgm:t>
        <a:bodyPr/>
        <a:lstStyle/>
        <a:p>
          <a:endParaRPr lang="en-US">
            <a:solidFill>
              <a:sysClr val="windowText" lastClr="000000"/>
            </a:solidFill>
          </a:endParaRPr>
        </a:p>
      </dgm:t>
    </dgm:pt>
    <dgm:pt modelId="{68007653-C756-4614-8F3C-F72085767FC1}">
      <dgm:prSet phldrT="[Text]"/>
      <dgm:spPr/>
      <dgm:t>
        <a:bodyPr/>
        <a:lstStyle/>
        <a:p>
          <a:r>
            <a:rPr lang="en-US">
              <a:solidFill>
                <a:sysClr val="windowText" lastClr="000000"/>
              </a:solidFill>
            </a:rPr>
            <a:t>No significant changes from the 2022 annual costs, approximately $25,000</a:t>
          </a:r>
        </a:p>
      </dgm:t>
    </dgm:pt>
    <dgm:pt modelId="{562CE3E3-6F62-4D89-871A-FD59DABF47B6}" type="parTrans" cxnId="{3A4C2EA5-CC1A-4CF3-AEB7-9B6D264AA1E1}">
      <dgm:prSet/>
      <dgm:spPr/>
      <dgm:t>
        <a:bodyPr/>
        <a:lstStyle/>
        <a:p>
          <a:endParaRPr lang="en-US">
            <a:solidFill>
              <a:sysClr val="windowText" lastClr="000000"/>
            </a:solidFill>
          </a:endParaRPr>
        </a:p>
      </dgm:t>
    </dgm:pt>
    <dgm:pt modelId="{263AD1DA-9291-448F-A425-B55A0FCCC49B}" type="sibTrans" cxnId="{3A4C2EA5-CC1A-4CF3-AEB7-9B6D264AA1E1}">
      <dgm:prSet/>
      <dgm:spPr/>
      <dgm:t>
        <a:bodyPr/>
        <a:lstStyle/>
        <a:p>
          <a:endParaRPr lang="en-US">
            <a:solidFill>
              <a:sysClr val="windowText" lastClr="000000"/>
            </a:solidFill>
          </a:endParaRPr>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4E77206-C159-4B97-92E9-3DA8BFEC8CA1}" type="doc">
      <dgm:prSet loTypeId="urn:microsoft.com/office/officeart/2011/layout/TabList" loCatId="list" qsTypeId="urn:microsoft.com/office/officeart/2005/8/quickstyle/simple1" qsCatId="simple" csTypeId="urn:microsoft.com/office/officeart/2005/8/colors/colorful2" csCatId="colorful" phldr="1"/>
      <dgm:spPr/>
      <dgm:t>
        <a:bodyPr/>
        <a:lstStyle/>
        <a:p>
          <a:endParaRPr lang="en-US"/>
        </a:p>
      </dgm:t>
    </dgm:pt>
    <dgm:pt modelId="{0E6216A2-91BC-4A36-9799-AB4FECC84BFA}">
      <dgm:prSet phldrT="[Text]" custT="1"/>
      <dgm:spPr/>
      <dgm:t>
        <a:bodyPr/>
        <a:lstStyle/>
        <a:p>
          <a:r>
            <a:rPr lang="en-US" sz="1200">
              <a:solidFill>
                <a:schemeClr val="bg1"/>
              </a:solidFill>
            </a:rPr>
            <a:t>Technology Use</a:t>
          </a:r>
        </a:p>
      </dgm:t>
    </dgm:pt>
    <dgm:pt modelId="{2D9D5B55-3F32-47EC-AACF-59131F619CE3}" type="parTrans" cxnId="{3125A52B-4AA5-4CC0-84F3-EED98D244014}">
      <dgm:prSet/>
      <dgm:spPr/>
      <dgm:t>
        <a:bodyPr/>
        <a:lstStyle/>
        <a:p>
          <a:endParaRPr lang="en-US">
            <a:solidFill>
              <a:schemeClr val="bg1"/>
            </a:solidFill>
          </a:endParaRPr>
        </a:p>
      </dgm:t>
    </dgm:pt>
    <dgm:pt modelId="{CED03A4F-FF7B-4959-928A-B16A7C1C4EF8}" type="sibTrans" cxnId="{3125A52B-4AA5-4CC0-84F3-EED98D244014}">
      <dgm:prSet/>
      <dgm:spPr/>
      <dgm:t>
        <a:bodyPr/>
        <a:lstStyle/>
        <a:p>
          <a:endParaRPr lang="en-US">
            <a:solidFill>
              <a:schemeClr val="bg1"/>
            </a:solidFill>
          </a:endParaRPr>
        </a:p>
      </dgm:t>
    </dgm:pt>
    <dgm:pt modelId="{8CE42AE3-547D-423A-A5F4-43BC4E1D8F0C}">
      <dgm:prSet phldrT="[Text]" custT="1"/>
      <dgm:spPr/>
      <dgm:t>
        <a:bodyPr/>
        <a:lstStyle/>
        <a:p>
          <a:pPr>
            <a:buFont typeface="Symbol" panose="05050102010706020507" pitchFamily="18" charset="2"/>
            <a:buChar char=""/>
          </a:pPr>
          <a:r>
            <a:rPr lang="en-US" sz="1000">
              <a:solidFill>
                <a:sysClr val="windowText" lastClr="000000"/>
              </a:solidFill>
            </a:rPr>
            <a:t>Video Recording Systems are used every day: they monitor BAC collection areas, interview rooms, and holding cells</a:t>
          </a:r>
        </a:p>
      </dgm:t>
    </dgm:pt>
    <dgm:pt modelId="{BF3DC6B4-C90E-4430-AC70-92E5DE65BFCE}" type="parTrans" cxnId="{2FAA3028-9E26-407B-AE96-83201E53778C}">
      <dgm:prSet/>
      <dgm:spPr/>
      <dgm:t>
        <a:bodyPr/>
        <a:lstStyle/>
        <a:p>
          <a:endParaRPr lang="en-US">
            <a:solidFill>
              <a:schemeClr val="bg1"/>
            </a:solidFill>
          </a:endParaRPr>
        </a:p>
      </dgm:t>
    </dgm:pt>
    <dgm:pt modelId="{BB820C90-D6DF-4C9A-8922-9C05FEB4D9B2}" type="sibTrans" cxnId="{2FAA3028-9E26-407B-AE96-83201E53778C}">
      <dgm:prSet/>
      <dgm:spPr/>
      <dgm:t>
        <a:bodyPr/>
        <a:lstStyle/>
        <a:p>
          <a:endParaRPr lang="en-US">
            <a:solidFill>
              <a:schemeClr val="bg1"/>
            </a:solidFill>
          </a:endParaRPr>
        </a:p>
      </dgm:t>
    </dgm:pt>
    <dgm:pt modelId="{D4140B3E-F2BD-444D-A39E-109D1316A462}">
      <dgm:prSet phldrT="[Text]" custT="1"/>
      <dgm:spPr/>
      <dgm:t>
        <a:bodyPr/>
        <a:lstStyle/>
        <a:p>
          <a:r>
            <a:rPr lang="en-US" sz="1200">
              <a:solidFill>
                <a:schemeClr val="bg1"/>
              </a:solidFill>
            </a:rPr>
            <a:t>Data Sharing</a:t>
          </a:r>
        </a:p>
      </dgm:t>
    </dgm:pt>
    <dgm:pt modelId="{52CC808E-F2D3-417E-BD45-D6F47DB7D31B}" type="parTrans" cxnId="{5666FA4E-AFD1-4316-BFB5-C606F6538992}">
      <dgm:prSet/>
      <dgm:spPr/>
      <dgm:t>
        <a:bodyPr/>
        <a:lstStyle/>
        <a:p>
          <a:endParaRPr lang="en-US">
            <a:solidFill>
              <a:schemeClr val="bg1"/>
            </a:solidFill>
          </a:endParaRPr>
        </a:p>
      </dgm:t>
    </dgm:pt>
    <dgm:pt modelId="{ACC4314C-A05E-42AD-AEF6-6F34E6C08FB1}" type="sibTrans" cxnId="{5666FA4E-AFD1-4316-BFB5-C606F6538992}">
      <dgm:prSet/>
      <dgm:spPr/>
      <dgm:t>
        <a:bodyPr/>
        <a:lstStyle/>
        <a:p>
          <a:endParaRPr lang="en-US">
            <a:solidFill>
              <a:schemeClr val="bg1"/>
            </a:solidFill>
          </a:endParaRPr>
        </a:p>
      </dgm:t>
    </dgm:pt>
    <dgm:pt modelId="{5333210A-C77D-46E7-B362-30E167DC1AD4}">
      <dgm:prSet phldrT="[Text]" custT="1"/>
      <dgm:spPr/>
      <dgm:t>
        <a:bodyPr/>
        <a:lstStyle/>
        <a:p>
          <a:r>
            <a:rPr lang="en-US" sz="1000">
              <a:solidFill>
                <a:sysClr val="windowText" lastClr="000000"/>
              </a:solidFill>
            </a:rPr>
            <a:t>Sharing of audio/video recording occurs rarely: whenever sharing does occur, it happens in the context of prosecutions</a:t>
          </a:r>
        </a:p>
      </dgm:t>
    </dgm:pt>
    <dgm:pt modelId="{AD61E923-8CCA-4EC4-977B-B0A7D8EDD492}" type="parTrans" cxnId="{FFA74BC2-2EAD-44A5-A7EC-B202971BA0D8}">
      <dgm:prSet/>
      <dgm:spPr/>
      <dgm:t>
        <a:bodyPr/>
        <a:lstStyle/>
        <a:p>
          <a:endParaRPr lang="en-US">
            <a:solidFill>
              <a:schemeClr val="bg1"/>
            </a:solidFill>
          </a:endParaRPr>
        </a:p>
      </dgm:t>
    </dgm:pt>
    <dgm:pt modelId="{356841D4-A26B-4C85-A071-49B48EC297B4}" type="sibTrans" cxnId="{FFA74BC2-2EAD-44A5-A7EC-B202971BA0D8}">
      <dgm:prSet/>
      <dgm:spPr/>
      <dgm:t>
        <a:bodyPr/>
        <a:lstStyle/>
        <a:p>
          <a:endParaRPr lang="en-US">
            <a:solidFill>
              <a:schemeClr val="bg1"/>
            </a:solidFill>
          </a:endParaRPr>
        </a:p>
      </dgm:t>
    </dgm:pt>
    <dgm:pt modelId="{81D871E1-083C-4139-A698-04C3C7AD4DE3}">
      <dgm:prSet phldrT="[Text]" custT="1"/>
      <dgm:spPr/>
      <dgm:t>
        <a:bodyPr/>
        <a:lstStyle/>
        <a:p>
          <a:r>
            <a:rPr lang="en-US" sz="1200">
              <a:solidFill>
                <a:schemeClr val="bg1"/>
              </a:solidFill>
            </a:rPr>
            <a:t>Data Security</a:t>
          </a:r>
        </a:p>
      </dgm:t>
    </dgm:pt>
    <dgm:pt modelId="{50E228A3-CE35-47E6-8613-E00C3D0A0425}" type="parTrans" cxnId="{B5574DA9-E419-4507-B0CD-FC8E039B3862}">
      <dgm:prSet/>
      <dgm:spPr/>
      <dgm:t>
        <a:bodyPr/>
        <a:lstStyle/>
        <a:p>
          <a:endParaRPr lang="en-US">
            <a:solidFill>
              <a:schemeClr val="bg1"/>
            </a:solidFill>
          </a:endParaRPr>
        </a:p>
      </dgm:t>
    </dgm:pt>
    <dgm:pt modelId="{1EAFF4AE-32BD-41DB-97DB-CA79BB135DAF}" type="sibTrans" cxnId="{B5574DA9-E419-4507-B0CD-FC8E039B3862}">
      <dgm:prSet/>
      <dgm:spPr/>
      <dgm:t>
        <a:bodyPr/>
        <a:lstStyle/>
        <a:p>
          <a:endParaRPr lang="en-US">
            <a:solidFill>
              <a:schemeClr val="bg1"/>
            </a:solidFill>
          </a:endParaRPr>
        </a:p>
      </dgm:t>
    </dgm:pt>
    <dgm:pt modelId="{C7285B9B-E7F5-45BF-B21B-B66A7D1AF846}">
      <dgm:prSet phldrT="[Text]" custT="1"/>
      <dgm:spPr/>
      <dgm:t>
        <a:bodyPr/>
        <a:lstStyle/>
        <a:p>
          <a:r>
            <a:rPr lang="en-US" sz="1200">
              <a:solidFill>
                <a:schemeClr val="bg1"/>
              </a:solidFill>
            </a:rPr>
            <a:t>Potentail Civil Liberties Impacts</a:t>
          </a:r>
        </a:p>
      </dgm:t>
    </dgm:pt>
    <dgm:pt modelId="{FCD6A876-5056-4CA7-97C3-65580005F9B7}" type="parTrans" cxnId="{28F53BB9-38C7-4474-8216-31EEE41DA480}">
      <dgm:prSet/>
      <dgm:spPr/>
      <dgm:t>
        <a:bodyPr/>
        <a:lstStyle/>
        <a:p>
          <a:endParaRPr lang="en-US">
            <a:solidFill>
              <a:schemeClr val="bg1"/>
            </a:solidFill>
          </a:endParaRPr>
        </a:p>
      </dgm:t>
    </dgm:pt>
    <dgm:pt modelId="{D333400A-8D17-4513-9604-04D81F4E3479}" type="sibTrans" cxnId="{28F53BB9-38C7-4474-8216-31EEE41DA480}">
      <dgm:prSet/>
      <dgm:spPr/>
      <dgm:t>
        <a:bodyPr/>
        <a:lstStyle/>
        <a:p>
          <a:endParaRPr lang="en-US">
            <a:solidFill>
              <a:schemeClr val="bg1"/>
            </a:solidFill>
          </a:endParaRPr>
        </a:p>
      </dgm:t>
    </dgm:pt>
    <dgm:pt modelId="{6A889DF8-8F89-41B8-9126-03A62CFA440F}">
      <dgm:prSet phldrT="[Text]" custT="1"/>
      <dgm:spPr/>
      <dgm:t>
        <a:bodyPr/>
        <a:lstStyle/>
        <a:p>
          <a:r>
            <a:rPr lang="en-US" sz="1200">
              <a:solidFill>
                <a:schemeClr val="bg1"/>
              </a:solidFill>
            </a:rPr>
            <a:t>Internal Assessments</a:t>
          </a:r>
        </a:p>
      </dgm:t>
    </dgm:pt>
    <dgm:pt modelId="{D50CFCB0-3566-4A0A-842D-30F46AF2259B}" type="parTrans" cxnId="{520002B2-2805-40C0-9311-89F427020800}">
      <dgm:prSet/>
      <dgm:spPr/>
      <dgm:t>
        <a:bodyPr/>
        <a:lstStyle/>
        <a:p>
          <a:endParaRPr lang="en-US">
            <a:solidFill>
              <a:schemeClr val="bg1"/>
            </a:solidFill>
          </a:endParaRPr>
        </a:p>
      </dgm:t>
    </dgm:pt>
    <dgm:pt modelId="{210C1774-1AA7-4F5E-824C-66DE61CC70C2}" type="sibTrans" cxnId="{520002B2-2805-40C0-9311-89F427020800}">
      <dgm:prSet/>
      <dgm:spPr/>
      <dgm:t>
        <a:bodyPr/>
        <a:lstStyle/>
        <a:p>
          <a:endParaRPr lang="en-US">
            <a:solidFill>
              <a:schemeClr val="bg1"/>
            </a:solidFill>
          </a:endParaRPr>
        </a:p>
      </dgm:t>
    </dgm:pt>
    <dgm:pt modelId="{5EBDA807-0947-423A-AFA7-0484C7224AC3}">
      <dgm:prSet phldrT="[Text]" custT="1"/>
      <dgm:spPr/>
      <dgm:t>
        <a:bodyPr/>
        <a:lstStyle/>
        <a:p>
          <a:r>
            <a:rPr lang="en-US" sz="1200">
              <a:solidFill>
                <a:schemeClr val="bg1"/>
              </a:solidFill>
            </a:rPr>
            <a:t>Costs</a:t>
          </a:r>
        </a:p>
      </dgm:t>
    </dgm:pt>
    <dgm:pt modelId="{371F526C-0D20-4CA9-BE9C-0B794CDB7AE6}" type="parTrans" cxnId="{087B0BCC-032E-4F4C-A49D-31737919067D}">
      <dgm:prSet/>
      <dgm:spPr/>
      <dgm:t>
        <a:bodyPr/>
        <a:lstStyle/>
        <a:p>
          <a:endParaRPr lang="en-US">
            <a:solidFill>
              <a:schemeClr val="bg1"/>
            </a:solidFill>
          </a:endParaRPr>
        </a:p>
      </dgm:t>
    </dgm:pt>
    <dgm:pt modelId="{5E3825EF-AA66-40FF-82D4-A5DDC3329C19}" type="sibTrans" cxnId="{087B0BCC-032E-4F4C-A49D-31737919067D}">
      <dgm:prSet/>
      <dgm:spPr/>
      <dgm:t>
        <a:bodyPr/>
        <a:lstStyle/>
        <a:p>
          <a:endParaRPr lang="en-US">
            <a:solidFill>
              <a:schemeClr val="bg1"/>
            </a:solidFill>
          </a:endParaRPr>
        </a:p>
      </dgm:t>
    </dgm:pt>
    <dgm:pt modelId="{1A4C193C-EBA7-496A-A328-2F0F85C226E5}">
      <dgm:prSet phldrT="[Text]" custT="1"/>
      <dgm:spPr/>
      <dgm:t>
        <a:bodyPr/>
        <a:lstStyle/>
        <a:p>
          <a:r>
            <a:rPr lang="en-US" sz="1000">
              <a:solidFill>
                <a:sysClr val="windowText" lastClr="000000"/>
              </a:solidFill>
            </a:rPr>
            <a:t>There are multiple Video Recording Systems; all stream to a secure server. Any recordings relevant to an investigation are stored in either the digital evidence management system or on a phyiscal disk given to the Evidence Unit</a:t>
          </a:r>
        </a:p>
      </dgm:t>
    </dgm:pt>
    <dgm:pt modelId="{313B8EC1-F641-459B-96E5-0FF6186C92A8}" type="parTrans" cxnId="{16DD1709-1E6D-4707-B2D9-D91853A5C733}">
      <dgm:prSet/>
      <dgm:spPr/>
      <dgm:t>
        <a:bodyPr/>
        <a:lstStyle/>
        <a:p>
          <a:endParaRPr lang="en-US">
            <a:solidFill>
              <a:schemeClr val="bg1"/>
            </a:solidFill>
          </a:endParaRPr>
        </a:p>
      </dgm:t>
    </dgm:pt>
    <dgm:pt modelId="{26FF2844-3D41-41F1-9280-F244BAB1E978}" type="sibTrans" cxnId="{16DD1709-1E6D-4707-B2D9-D91853A5C733}">
      <dgm:prSet/>
      <dgm:spPr/>
      <dgm:t>
        <a:bodyPr/>
        <a:lstStyle/>
        <a:p>
          <a:endParaRPr lang="en-US">
            <a:solidFill>
              <a:schemeClr val="bg1"/>
            </a:solidFill>
          </a:endParaRPr>
        </a:p>
      </dgm:t>
    </dgm:pt>
    <dgm:pt modelId="{4584266E-578E-4624-86A2-9E1CF24B4430}">
      <dgm:prSet phldrT="[Text]" custT="1"/>
      <dgm:spPr/>
      <dgm:t>
        <a:bodyPr/>
        <a:lstStyle/>
        <a:p>
          <a:r>
            <a:rPr lang="en-US" sz="1000">
              <a:solidFill>
                <a:sysClr val="windowText" lastClr="000000"/>
              </a:solidFill>
            </a:rPr>
            <a:t>Pursuant to RCW 9.73, cameras for all Video Recording Systems are conspicuous and signs near the camera provide notice of audio/video recording. Whenever officers enter the room or area, they also verbally notify subjects of the ongoing audio/video recording</a:t>
          </a:r>
        </a:p>
      </dgm:t>
    </dgm:pt>
    <dgm:pt modelId="{26FAEB28-B8BD-4151-A530-EEFCC7A1722C}" type="parTrans" cxnId="{738E7910-D65F-4C55-A528-A714E4C3EAC0}">
      <dgm:prSet/>
      <dgm:spPr/>
      <dgm:t>
        <a:bodyPr/>
        <a:lstStyle/>
        <a:p>
          <a:endParaRPr lang="en-US">
            <a:solidFill>
              <a:schemeClr val="bg1"/>
            </a:solidFill>
          </a:endParaRPr>
        </a:p>
      </dgm:t>
    </dgm:pt>
    <dgm:pt modelId="{D68DC507-250B-40BE-8E83-C302D7E25514}" type="sibTrans" cxnId="{738E7910-D65F-4C55-A528-A714E4C3EAC0}">
      <dgm:prSet/>
      <dgm:spPr/>
      <dgm:t>
        <a:bodyPr/>
        <a:lstStyle/>
        <a:p>
          <a:endParaRPr lang="en-US">
            <a:solidFill>
              <a:schemeClr val="bg1"/>
            </a:solidFill>
          </a:endParaRPr>
        </a:p>
      </dgm:t>
    </dgm:pt>
    <dgm:pt modelId="{05FC67A9-7B69-4932-B39E-8D9A8E50068A}">
      <dgm:prSet phldrT="[Text]" custT="1"/>
      <dgm:spPr/>
      <dgm:t>
        <a:bodyPr/>
        <a:lstStyle/>
        <a:p>
          <a:r>
            <a:rPr lang="en-US" sz="1000">
              <a:solidFill>
                <a:sysClr val="windowText" lastClr="000000"/>
              </a:solidFill>
            </a:rPr>
            <a:t>No new assessments, registered community concerns, or OPA complaints</a:t>
          </a:r>
        </a:p>
      </dgm:t>
    </dgm:pt>
    <dgm:pt modelId="{90675039-BEB4-4390-959D-3525E554C980}" type="parTrans" cxnId="{F56947E4-3767-423F-A3B2-0E2D649F0C40}">
      <dgm:prSet/>
      <dgm:spPr/>
      <dgm:t>
        <a:bodyPr/>
        <a:lstStyle/>
        <a:p>
          <a:endParaRPr lang="en-US">
            <a:solidFill>
              <a:schemeClr val="bg1"/>
            </a:solidFill>
          </a:endParaRPr>
        </a:p>
      </dgm:t>
    </dgm:pt>
    <dgm:pt modelId="{1FBE385B-A23A-4A8E-BF93-20D7389FB018}" type="sibTrans" cxnId="{F56947E4-3767-423F-A3B2-0E2D649F0C40}">
      <dgm:prSet/>
      <dgm:spPr/>
      <dgm:t>
        <a:bodyPr/>
        <a:lstStyle/>
        <a:p>
          <a:endParaRPr lang="en-US">
            <a:solidFill>
              <a:schemeClr val="bg1"/>
            </a:solidFill>
          </a:endParaRPr>
        </a:p>
      </dgm:t>
    </dgm:pt>
    <dgm:pt modelId="{68007653-C756-4614-8F3C-F72085767FC1}">
      <dgm:prSet phldrT="[Text]" custT="1"/>
      <dgm:spPr/>
      <dgm:t>
        <a:bodyPr/>
        <a:lstStyle/>
        <a:p>
          <a:r>
            <a:rPr lang="en-US" sz="1000">
              <a:solidFill>
                <a:sysClr val="windowText" lastClr="000000"/>
              </a:solidFill>
            </a:rPr>
            <a:t>No significant changes from the 2022 annual costs approximately $57,000</a:t>
          </a:r>
        </a:p>
      </dgm:t>
    </dgm:pt>
    <dgm:pt modelId="{562CE3E3-6F62-4D89-871A-FD59DABF47B6}" type="parTrans" cxnId="{3A4C2EA5-CC1A-4CF3-AEB7-9B6D264AA1E1}">
      <dgm:prSet/>
      <dgm:spPr/>
      <dgm:t>
        <a:bodyPr/>
        <a:lstStyle/>
        <a:p>
          <a:endParaRPr lang="en-US">
            <a:solidFill>
              <a:schemeClr val="bg1"/>
            </a:solidFill>
          </a:endParaRPr>
        </a:p>
      </dgm:t>
    </dgm:pt>
    <dgm:pt modelId="{263AD1DA-9291-448F-A425-B55A0FCCC49B}" type="sibTrans" cxnId="{3A4C2EA5-CC1A-4CF3-AEB7-9B6D264AA1E1}">
      <dgm:prSet/>
      <dgm:spPr/>
      <dgm:t>
        <a:bodyPr/>
        <a:lstStyle/>
        <a:p>
          <a:endParaRPr lang="en-US">
            <a:solidFill>
              <a:schemeClr val="bg1"/>
            </a:solidFill>
          </a:endParaRPr>
        </a:p>
      </dgm:t>
    </dgm:pt>
    <dgm:pt modelId="{AF44F97D-9ADE-4461-9D83-E09D36642749}" type="pres">
      <dgm:prSet presAssocID="{94E77206-C159-4B97-92E9-3DA8BFEC8CA1}" presName="Name0" presStyleCnt="0">
        <dgm:presLayoutVars>
          <dgm:chMax/>
          <dgm:chPref val="3"/>
          <dgm:dir/>
          <dgm:animOne val="branch"/>
          <dgm:animLvl val="lvl"/>
        </dgm:presLayoutVars>
      </dgm:prSet>
      <dgm:spPr/>
    </dgm:pt>
    <dgm:pt modelId="{CF38CC31-3566-48B0-8229-609147069A63}" type="pres">
      <dgm:prSet presAssocID="{0E6216A2-91BC-4A36-9799-AB4FECC84BFA}" presName="composite" presStyleCnt="0"/>
      <dgm:spPr/>
    </dgm:pt>
    <dgm:pt modelId="{1CBF0242-28CD-4433-993D-CCDF35F2C480}" type="pres">
      <dgm:prSet presAssocID="{0E6216A2-91BC-4A36-9799-AB4FECC84BFA}" presName="FirstChild" presStyleLbl="revTx" presStyleIdx="0" presStyleCnt="6">
        <dgm:presLayoutVars>
          <dgm:chMax val="0"/>
          <dgm:chPref val="0"/>
          <dgm:bulletEnabled val="1"/>
        </dgm:presLayoutVars>
      </dgm:prSet>
      <dgm:spPr/>
    </dgm:pt>
    <dgm:pt modelId="{99F2924F-96BF-4178-A4B9-45E32D8D370E}" type="pres">
      <dgm:prSet presAssocID="{0E6216A2-91BC-4A36-9799-AB4FECC84BFA}" presName="Parent" presStyleLbl="alignNode1" presStyleIdx="0" presStyleCnt="6">
        <dgm:presLayoutVars>
          <dgm:chMax val="3"/>
          <dgm:chPref val="3"/>
          <dgm:bulletEnabled val="1"/>
        </dgm:presLayoutVars>
      </dgm:prSet>
      <dgm:spPr/>
    </dgm:pt>
    <dgm:pt modelId="{DAE804C0-9068-4E5F-988D-854206564AB3}" type="pres">
      <dgm:prSet presAssocID="{0E6216A2-91BC-4A36-9799-AB4FECC84BFA}" presName="Accent" presStyleLbl="parChTrans1D1" presStyleIdx="0" presStyleCnt="6"/>
      <dgm:spPr/>
    </dgm:pt>
    <dgm:pt modelId="{E540DBAC-6FE6-4B25-9E08-1366A11AB611}" type="pres">
      <dgm:prSet presAssocID="{CED03A4F-FF7B-4959-928A-B16A7C1C4EF8}" presName="sibTrans" presStyleCnt="0"/>
      <dgm:spPr/>
    </dgm:pt>
    <dgm:pt modelId="{E5F8E9F3-CB43-4CE0-AC30-A5B2EF3CCC73}" type="pres">
      <dgm:prSet presAssocID="{D4140B3E-F2BD-444D-A39E-109D1316A462}" presName="composite" presStyleCnt="0"/>
      <dgm:spPr/>
    </dgm:pt>
    <dgm:pt modelId="{06517A4C-2521-4F54-93CB-8B1D84E5F771}" type="pres">
      <dgm:prSet presAssocID="{D4140B3E-F2BD-444D-A39E-109D1316A462}" presName="FirstChild" presStyleLbl="revTx" presStyleIdx="1" presStyleCnt="6">
        <dgm:presLayoutVars>
          <dgm:chMax val="0"/>
          <dgm:chPref val="0"/>
          <dgm:bulletEnabled val="1"/>
        </dgm:presLayoutVars>
      </dgm:prSet>
      <dgm:spPr/>
    </dgm:pt>
    <dgm:pt modelId="{8144CDC6-4F3C-41DC-9452-2518A05AD26D}" type="pres">
      <dgm:prSet presAssocID="{D4140B3E-F2BD-444D-A39E-109D1316A462}" presName="Parent" presStyleLbl="alignNode1" presStyleIdx="1" presStyleCnt="6">
        <dgm:presLayoutVars>
          <dgm:chMax val="3"/>
          <dgm:chPref val="3"/>
          <dgm:bulletEnabled val="1"/>
        </dgm:presLayoutVars>
      </dgm:prSet>
      <dgm:spPr/>
    </dgm:pt>
    <dgm:pt modelId="{C2C42597-44E7-4346-84A4-AD1E1C5BB30E}" type="pres">
      <dgm:prSet presAssocID="{D4140B3E-F2BD-444D-A39E-109D1316A462}" presName="Accent" presStyleLbl="parChTrans1D1" presStyleIdx="1" presStyleCnt="6"/>
      <dgm:spPr/>
    </dgm:pt>
    <dgm:pt modelId="{CA2FC6D1-268F-4D47-BADD-93CDAE6DC584}" type="pres">
      <dgm:prSet presAssocID="{ACC4314C-A05E-42AD-AEF6-6F34E6C08FB1}" presName="sibTrans" presStyleCnt="0"/>
      <dgm:spPr/>
    </dgm:pt>
    <dgm:pt modelId="{7101D140-A73F-463C-ACCC-08B48523CD2D}" type="pres">
      <dgm:prSet presAssocID="{81D871E1-083C-4139-A698-04C3C7AD4DE3}" presName="composite" presStyleCnt="0"/>
      <dgm:spPr/>
    </dgm:pt>
    <dgm:pt modelId="{6D9140B6-775F-4F04-99C2-FA4399F498C8}" type="pres">
      <dgm:prSet presAssocID="{81D871E1-083C-4139-A698-04C3C7AD4DE3}" presName="FirstChild" presStyleLbl="revTx" presStyleIdx="2" presStyleCnt="6">
        <dgm:presLayoutVars>
          <dgm:chMax val="0"/>
          <dgm:chPref val="0"/>
          <dgm:bulletEnabled val="1"/>
        </dgm:presLayoutVars>
      </dgm:prSet>
      <dgm:spPr/>
    </dgm:pt>
    <dgm:pt modelId="{FF32674F-E598-48AC-B99B-BDE63FD8B24A}" type="pres">
      <dgm:prSet presAssocID="{81D871E1-083C-4139-A698-04C3C7AD4DE3}" presName="Parent" presStyleLbl="alignNode1" presStyleIdx="2" presStyleCnt="6">
        <dgm:presLayoutVars>
          <dgm:chMax val="3"/>
          <dgm:chPref val="3"/>
          <dgm:bulletEnabled val="1"/>
        </dgm:presLayoutVars>
      </dgm:prSet>
      <dgm:spPr/>
    </dgm:pt>
    <dgm:pt modelId="{F88C993C-BBCC-4481-B7CF-39F2E450D101}" type="pres">
      <dgm:prSet presAssocID="{81D871E1-083C-4139-A698-04C3C7AD4DE3}" presName="Accent" presStyleLbl="parChTrans1D1" presStyleIdx="2" presStyleCnt="6"/>
      <dgm:spPr/>
    </dgm:pt>
    <dgm:pt modelId="{BBA64649-4FE2-4514-AB98-F735DA49EF25}" type="pres">
      <dgm:prSet presAssocID="{1EAFF4AE-32BD-41DB-97DB-CA79BB135DAF}" presName="sibTrans" presStyleCnt="0"/>
      <dgm:spPr/>
    </dgm:pt>
    <dgm:pt modelId="{DA6729CD-4CB0-4CD8-A971-0FAC2F228CD2}" type="pres">
      <dgm:prSet presAssocID="{C7285B9B-E7F5-45BF-B21B-B66A7D1AF846}" presName="composite" presStyleCnt="0"/>
      <dgm:spPr/>
    </dgm:pt>
    <dgm:pt modelId="{9BC05ACE-9DE8-43BC-B33A-A9532941BCB7}" type="pres">
      <dgm:prSet presAssocID="{C7285B9B-E7F5-45BF-B21B-B66A7D1AF846}" presName="FirstChild" presStyleLbl="revTx" presStyleIdx="3" presStyleCnt="6">
        <dgm:presLayoutVars>
          <dgm:chMax val="0"/>
          <dgm:chPref val="0"/>
          <dgm:bulletEnabled val="1"/>
        </dgm:presLayoutVars>
      </dgm:prSet>
      <dgm:spPr/>
    </dgm:pt>
    <dgm:pt modelId="{2886039F-E8A6-4A2D-BB42-7A808541B204}" type="pres">
      <dgm:prSet presAssocID="{C7285B9B-E7F5-45BF-B21B-B66A7D1AF846}" presName="Parent" presStyleLbl="alignNode1" presStyleIdx="3" presStyleCnt="6">
        <dgm:presLayoutVars>
          <dgm:chMax val="3"/>
          <dgm:chPref val="3"/>
          <dgm:bulletEnabled val="1"/>
        </dgm:presLayoutVars>
      </dgm:prSet>
      <dgm:spPr/>
    </dgm:pt>
    <dgm:pt modelId="{C08DA1A2-DBC1-4A6E-AF11-21763D5017AA}" type="pres">
      <dgm:prSet presAssocID="{C7285B9B-E7F5-45BF-B21B-B66A7D1AF846}" presName="Accent" presStyleLbl="parChTrans1D1" presStyleIdx="3" presStyleCnt="6"/>
      <dgm:spPr/>
    </dgm:pt>
    <dgm:pt modelId="{0A72E2C7-9762-477F-A0E9-293F114AC486}" type="pres">
      <dgm:prSet presAssocID="{D333400A-8D17-4513-9604-04D81F4E3479}" presName="sibTrans" presStyleCnt="0"/>
      <dgm:spPr/>
    </dgm:pt>
    <dgm:pt modelId="{01BE1D83-883B-4C7D-8D0E-0E51D2E84D85}" type="pres">
      <dgm:prSet presAssocID="{6A889DF8-8F89-41B8-9126-03A62CFA440F}" presName="composite" presStyleCnt="0"/>
      <dgm:spPr/>
    </dgm:pt>
    <dgm:pt modelId="{45B0443E-C208-4986-B3E4-D207E34FA00E}" type="pres">
      <dgm:prSet presAssocID="{6A889DF8-8F89-41B8-9126-03A62CFA440F}" presName="FirstChild" presStyleLbl="revTx" presStyleIdx="4" presStyleCnt="6">
        <dgm:presLayoutVars>
          <dgm:chMax val="0"/>
          <dgm:chPref val="0"/>
          <dgm:bulletEnabled val="1"/>
        </dgm:presLayoutVars>
      </dgm:prSet>
      <dgm:spPr/>
    </dgm:pt>
    <dgm:pt modelId="{B1AD2CF6-1DFA-4E2E-B7FB-5DA34585F018}" type="pres">
      <dgm:prSet presAssocID="{6A889DF8-8F89-41B8-9126-03A62CFA440F}" presName="Parent" presStyleLbl="alignNode1" presStyleIdx="4" presStyleCnt="6">
        <dgm:presLayoutVars>
          <dgm:chMax val="3"/>
          <dgm:chPref val="3"/>
          <dgm:bulletEnabled val="1"/>
        </dgm:presLayoutVars>
      </dgm:prSet>
      <dgm:spPr/>
    </dgm:pt>
    <dgm:pt modelId="{03AD460F-268A-4251-A035-864198B6BD1C}" type="pres">
      <dgm:prSet presAssocID="{6A889DF8-8F89-41B8-9126-03A62CFA440F}" presName="Accent" presStyleLbl="parChTrans1D1" presStyleIdx="4" presStyleCnt="6"/>
      <dgm:spPr/>
    </dgm:pt>
    <dgm:pt modelId="{2C3849FD-58A2-4D3E-8577-EA0A5E53971D}" type="pres">
      <dgm:prSet presAssocID="{210C1774-1AA7-4F5E-824C-66DE61CC70C2}" presName="sibTrans" presStyleCnt="0"/>
      <dgm:spPr/>
    </dgm:pt>
    <dgm:pt modelId="{A9731E5F-9AF2-4976-994C-756ACE302478}" type="pres">
      <dgm:prSet presAssocID="{5EBDA807-0947-423A-AFA7-0484C7224AC3}" presName="composite" presStyleCnt="0"/>
      <dgm:spPr/>
    </dgm:pt>
    <dgm:pt modelId="{F13CE2CE-AFDE-4007-8CAD-C0C730D7AB06}" type="pres">
      <dgm:prSet presAssocID="{5EBDA807-0947-423A-AFA7-0484C7224AC3}" presName="FirstChild" presStyleLbl="revTx" presStyleIdx="5" presStyleCnt="6">
        <dgm:presLayoutVars>
          <dgm:chMax val="0"/>
          <dgm:chPref val="0"/>
          <dgm:bulletEnabled val="1"/>
        </dgm:presLayoutVars>
      </dgm:prSet>
      <dgm:spPr/>
    </dgm:pt>
    <dgm:pt modelId="{68498810-EC2D-4F8E-AAAB-303D5B9A6E4A}" type="pres">
      <dgm:prSet presAssocID="{5EBDA807-0947-423A-AFA7-0484C7224AC3}" presName="Parent" presStyleLbl="alignNode1" presStyleIdx="5" presStyleCnt="6">
        <dgm:presLayoutVars>
          <dgm:chMax val="3"/>
          <dgm:chPref val="3"/>
          <dgm:bulletEnabled val="1"/>
        </dgm:presLayoutVars>
      </dgm:prSet>
      <dgm:spPr/>
    </dgm:pt>
    <dgm:pt modelId="{F0FE5271-3C41-4FBD-AD36-090F3C208E3F}" type="pres">
      <dgm:prSet presAssocID="{5EBDA807-0947-423A-AFA7-0484C7224AC3}" presName="Accent" presStyleLbl="parChTrans1D1" presStyleIdx="5" presStyleCnt="6"/>
      <dgm:spPr/>
    </dgm:pt>
  </dgm:ptLst>
  <dgm:cxnLst>
    <dgm:cxn modelId="{16DD1709-1E6D-4707-B2D9-D91853A5C733}" srcId="{81D871E1-083C-4139-A698-04C3C7AD4DE3}" destId="{1A4C193C-EBA7-496A-A328-2F0F85C226E5}" srcOrd="0" destOrd="0" parTransId="{313B8EC1-F641-459B-96E5-0FF6186C92A8}" sibTransId="{26FF2844-3D41-41F1-9280-F244BAB1E978}"/>
    <dgm:cxn modelId="{738E7910-D65F-4C55-A528-A714E4C3EAC0}" srcId="{C7285B9B-E7F5-45BF-B21B-B66A7D1AF846}" destId="{4584266E-578E-4624-86A2-9E1CF24B4430}" srcOrd="0" destOrd="0" parTransId="{26FAEB28-B8BD-4151-A530-EEFCC7A1722C}" sibTransId="{D68DC507-250B-40BE-8E83-C302D7E25514}"/>
    <dgm:cxn modelId="{4711131E-1CD5-47CC-B4FF-DB5B6941905A}" type="presOf" srcId="{81D871E1-083C-4139-A698-04C3C7AD4DE3}" destId="{FF32674F-E598-48AC-B99B-BDE63FD8B24A}" srcOrd="0" destOrd="0" presId="urn:microsoft.com/office/officeart/2011/layout/TabList"/>
    <dgm:cxn modelId="{2FAA3028-9E26-407B-AE96-83201E53778C}" srcId="{0E6216A2-91BC-4A36-9799-AB4FECC84BFA}" destId="{8CE42AE3-547D-423A-A5F4-43BC4E1D8F0C}" srcOrd="0" destOrd="0" parTransId="{BF3DC6B4-C90E-4430-AC70-92E5DE65BFCE}" sibTransId="{BB820C90-D6DF-4C9A-8922-9C05FEB4D9B2}"/>
    <dgm:cxn modelId="{3125A52B-4AA5-4CC0-84F3-EED98D244014}" srcId="{94E77206-C159-4B97-92E9-3DA8BFEC8CA1}" destId="{0E6216A2-91BC-4A36-9799-AB4FECC84BFA}" srcOrd="0" destOrd="0" parTransId="{2D9D5B55-3F32-47EC-AACF-59131F619CE3}" sibTransId="{CED03A4F-FF7B-4959-928A-B16A7C1C4EF8}"/>
    <dgm:cxn modelId="{0F3D662D-8F8D-4906-A5EC-20E0DC0090F4}" type="presOf" srcId="{6A889DF8-8F89-41B8-9126-03A62CFA440F}" destId="{B1AD2CF6-1DFA-4E2E-B7FB-5DA34585F018}" srcOrd="0" destOrd="0" presId="urn:microsoft.com/office/officeart/2011/layout/TabList"/>
    <dgm:cxn modelId="{49A6F65F-5A17-49C9-91F8-9F5FC7095D1B}" type="presOf" srcId="{05FC67A9-7B69-4932-B39E-8D9A8E50068A}" destId="{45B0443E-C208-4986-B3E4-D207E34FA00E}" srcOrd="0" destOrd="0" presId="urn:microsoft.com/office/officeart/2011/layout/TabList"/>
    <dgm:cxn modelId="{17CF0C4D-B242-4B11-B5D7-95C5C70E8722}" type="presOf" srcId="{5EBDA807-0947-423A-AFA7-0484C7224AC3}" destId="{68498810-EC2D-4F8E-AAAB-303D5B9A6E4A}" srcOrd="0" destOrd="0" presId="urn:microsoft.com/office/officeart/2011/layout/TabList"/>
    <dgm:cxn modelId="{5666FA4E-AFD1-4316-BFB5-C606F6538992}" srcId="{94E77206-C159-4B97-92E9-3DA8BFEC8CA1}" destId="{D4140B3E-F2BD-444D-A39E-109D1316A462}" srcOrd="1" destOrd="0" parTransId="{52CC808E-F2D3-417E-BD45-D6F47DB7D31B}" sibTransId="{ACC4314C-A05E-42AD-AEF6-6F34E6C08FB1}"/>
    <dgm:cxn modelId="{5A0E836F-DC80-4630-A221-DF280D43822D}" type="presOf" srcId="{1A4C193C-EBA7-496A-A328-2F0F85C226E5}" destId="{6D9140B6-775F-4F04-99C2-FA4399F498C8}" srcOrd="0" destOrd="0" presId="urn:microsoft.com/office/officeart/2011/layout/TabList"/>
    <dgm:cxn modelId="{4C831155-0186-4810-8582-86E9C7469C28}" type="presOf" srcId="{4584266E-578E-4624-86A2-9E1CF24B4430}" destId="{9BC05ACE-9DE8-43BC-B33A-A9532941BCB7}" srcOrd="0" destOrd="0" presId="urn:microsoft.com/office/officeart/2011/layout/TabList"/>
    <dgm:cxn modelId="{E982AD77-D395-4D06-8733-00CD3290FC59}" type="presOf" srcId="{8CE42AE3-547D-423A-A5F4-43BC4E1D8F0C}" destId="{1CBF0242-28CD-4433-993D-CCDF35F2C480}" srcOrd="0" destOrd="0" presId="urn:microsoft.com/office/officeart/2011/layout/TabList"/>
    <dgm:cxn modelId="{D8694359-D7FA-4E5D-9F0D-E74E49E132A9}" type="presOf" srcId="{C7285B9B-E7F5-45BF-B21B-B66A7D1AF846}" destId="{2886039F-E8A6-4A2D-BB42-7A808541B204}" srcOrd="0" destOrd="0" presId="urn:microsoft.com/office/officeart/2011/layout/TabList"/>
    <dgm:cxn modelId="{F9ED9A79-AFD5-4A8C-8F29-588906CD7C5A}" type="presOf" srcId="{5333210A-C77D-46E7-B362-30E167DC1AD4}" destId="{06517A4C-2521-4F54-93CB-8B1D84E5F771}" srcOrd="0" destOrd="0" presId="urn:microsoft.com/office/officeart/2011/layout/TabList"/>
    <dgm:cxn modelId="{3A4C2EA5-CC1A-4CF3-AEB7-9B6D264AA1E1}" srcId="{5EBDA807-0947-423A-AFA7-0484C7224AC3}" destId="{68007653-C756-4614-8F3C-F72085767FC1}" srcOrd="0" destOrd="0" parTransId="{562CE3E3-6F62-4D89-871A-FD59DABF47B6}" sibTransId="{263AD1DA-9291-448F-A425-B55A0FCCC49B}"/>
    <dgm:cxn modelId="{B5574DA9-E419-4507-B0CD-FC8E039B3862}" srcId="{94E77206-C159-4B97-92E9-3DA8BFEC8CA1}" destId="{81D871E1-083C-4139-A698-04C3C7AD4DE3}" srcOrd="2" destOrd="0" parTransId="{50E228A3-CE35-47E6-8613-E00C3D0A0425}" sibTransId="{1EAFF4AE-32BD-41DB-97DB-CA79BB135DAF}"/>
    <dgm:cxn modelId="{490218AB-4B11-4C66-B2CB-7E2403BF1165}" type="presOf" srcId="{94E77206-C159-4B97-92E9-3DA8BFEC8CA1}" destId="{AF44F97D-9ADE-4461-9D83-E09D36642749}" srcOrd="0" destOrd="0" presId="urn:microsoft.com/office/officeart/2011/layout/TabList"/>
    <dgm:cxn modelId="{520002B2-2805-40C0-9311-89F427020800}" srcId="{94E77206-C159-4B97-92E9-3DA8BFEC8CA1}" destId="{6A889DF8-8F89-41B8-9126-03A62CFA440F}" srcOrd="4" destOrd="0" parTransId="{D50CFCB0-3566-4A0A-842D-30F46AF2259B}" sibTransId="{210C1774-1AA7-4F5E-824C-66DE61CC70C2}"/>
    <dgm:cxn modelId="{28F53BB9-38C7-4474-8216-31EEE41DA480}" srcId="{94E77206-C159-4B97-92E9-3DA8BFEC8CA1}" destId="{C7285B9B-E7F5-45BF-B21B-B66A7D1AF846}" srcOrd="3" destOrd="0" parTransId="{FCD6A876-5056-4CA7-97C3-65580005F9B7}" sibTransId="{D333400A-8D17-4513-9604-04D81F4E3479}"/>
    <dgm:cxn modelId="{FFA74BC2-2EAD-44A5-A7EC-B202971BA0D8}" srcId="{D4140B3E-F2BD-444D-A39E-109D1316A462}" destId="{5333210A-C77D-46E7-B362-30E167DC1AD4}" srcOrd="0" destOrd="0" parTransId="{AD61E923-8CCA-4EC4-977B-B0A7D8EDD492}" sibTransId="{356841D4-A26B-4C85-A071-49B48EC297B4}"/>
    <dgm:cxn modelId="{89FC18C5-FBE8-45C7-94B6-7729F7397324}" type="presOf" srcId="{D4140B3E-F2BD-444D-A39E-109D1316A462}" destId="{8144CDC6-4F3C-41DC-9452-2518A05AD26D}" srcOrd="0" destOrd="0" presId="urn:microsoft.com/office/officeart/2011/layout/TabList"/>
    <dgm:cxn modelId="{087B0BCC-032E-4F4C-A49D-31737919067D}" srcId="{94E77206-C159-4B97-92E9-3DA8BFEC8CA1}" destId="{5EBDA807-0947-423A-AFA7-0484C7224AC3}" srcOrd="5" destOrd="0" parTransId="{371F526C-0D20-4CA9-BE9C-0B794CDB7AE6}" sibTransId="{5E3825EF-AA66-40FF-82D4-A5DDC3329C19}"/>
    <dgm:cxn modelId="{041D7EDF-7191-4144-B8A4-F17285D6B219}" type="presOf" srcId="{68007653-C756-4614-8F3C-F72085767FC1}" destId="{F13CE2CE-AFDE-4007-8CAD-C0C730D7AB06}" srcOrd="0" destOrd="0" presId="urn:microsoft.com/office/officeart/2011/layout/TabList"/>
    <dgm:cxn modelId="{F56947E4-3767-423F-A3B2-0E2D649F0C40}" srcId="{6A889DF8-8F89-41B8-9126-03A62CFA440F}" destId="{05FC67A9-7B69-4932-B39E-8D9A8E50068A}" srcOrd="0" destOrd="0" parTransId="{90675039-BEB4-4390-959D-3525E554C980}" sibTransId="{1FBE385B-A23A-4A8E-BF93-20D7389FB018}"/>
    <dgm:cxn modelId="{A50DC5EF-C1E0-4F7E-B4D3-15A83883A627}" type="presOf" srcId="{0E6216A2-91BC-4A36-9799-AB4FECC84BFA}" destId="{99F2924F-96BF-4178-A4B9-45E32D8D370E}" srcOrd="0" destOrd="0" presId="urn:microsoft.com/office/officeart/2011/layout/TabList"/>
    <dgm:cxn modelId="{15075FEC-14C2-461D-8EF4-8E544620DD27}" type="presParOf" srcId="{AF44F97D-9ADE-4461-9D83-E09D36642749}" destId="{CF38CC31-3566-48B0-8229-609147069A63}" srcOrd="0" destOrd="0" presId="urn:microsoft.com/office/officeart/2011/layout/TabList"/>
    <dgm:cxn modelId="{F09E21D7-73A5-4C3E-BA52-F0ED9D9A7CEB}" type="presParOf" srcId="{CF38CC31-3566-48B0-8229-609147069A63}" destId="{1CBF0242-28CD-4433-993D-CCDF35F2C480}" srcOrd="0" destOrd="0" presId="urn:microsoft.com/office/officeart/2011/layout/TabList"/>
    <dgm:cxn modelId="{BF48ABF8-5889-4179-9884-E11905DBD3BA}" type="presParOf" srcId="{CF38CC31-3566-48B0-8229-609147069A63}" destId="{99F2924F-96BF-4178-A4B9-45E32D8D370E}" srcOrd="1" destOrd="0" presId="urn:microsoft.com/office/officeart/2011/layout/TabList"/>
    <dgm:cxn modelId="{28F5C99A-018F-4FED-84D9-A4B69BBB5331}" type="presParOf" srcId="{CF38CC31-3566-48B0-8229-609147069A63}" destId="{DAE804C0-9068-4E5F-988D-854206564AB3}" srcOrd="2" destOrd="0" presId="urn:microsoft.com/office/officeart/2011/layout/TabList"/>
    <dgm:cxn modelId="{D5B986AE-4AFD-445C-B978-A408649D806E}" type="presParOf" srcId="{AF44F97D-9ADE-4461-9D83-E09D36642749}" destId="{E540DBAC-6FE6-4B25-9E08-1366A11AB611}" srcOrd="1" destOrd="0" presId="urn:microsoft.com/office/officeart/2011/layout/TabList"/>
    <dgm:cxn modelId="{4F828FC8-126E-4D12-BF5D-57CA3E8484BC}" type="presParOf" srcId="{AF44F97D-9ADE-4461-9D83-E09D36642749}" destId="{E5F8E9F3-CB43-4CE0-AC30-A5B2EF3CCC73}" srcOrd="2" destOrd="0" presId="urn:microsoft.com/office/officeart/2011/layout/TabList"/>
    <dgm:cxn modelId="{EB50E87B-D187-4AF4-BE69-960A8B4822AC}" type="presParOf" srcId="{E5F8E9F3-CB43-4CE0-AC30-A5B2EF3CCC73}" destId="{06517A4C-2521-4F54-93CB-8B1D84E5F771}" srcOrd="0" destOrd="0" presId="urn:microsoft.com/office/officeart/2011/layout/TabList"/>
    <dgm:cxn modelId="{6308D173-2755-4CFF-BEEB-DA843C964557}" type="presParOf" srcId="{E5F8E9F3-CB43-4CE0-AC30-A5B2EF3CCC73}" destId="{8144CDC6-4F3C-41DC-9452-2518A05AD26D}" srcOrd="1" destOrd="0" presId="urn:microsoft.com/office/officeart/2011/layout/TabList"/>
    <dgm:cxn modelId="{76937382-E3F8-4FE1-8356-D83C2FA3B4C2}" type="presParOf" srcId="{E5F8E9F3-CB43-4CE0-AC30-A5B2EF3CCC73}" destId="{C2C42597-44E7-4346-84A4-AD1E1C5BB30E}" srcOrd="2" destOrd="0" presId="urn:microsoft.com/office/officeart/2011/layout/TabList"/>
    <dgm:cxn modelId="{816F84D8-3B3E-41F0-9694-890C28583469}" type="presParOf" srcId="{AF44F97D-9ADE-4461-9D83-E09D36642749}" destId="{CA2FC6D1-268F-4D47-BADD-93CDAE6DC584}" srcOrd="3" destOrd="0" presId="urn:microsoft.com/office/officeart/2011/layout/TabList"/>
    <dgm:cxn modelId="{D10852B2-4075-4D95-A3BD-C54E52872F31}" type="presParOf" srcId="{AF44F97D-9ADE-4461-9D83-E09D36642749}" destId="{7101D140-A73F-463C-ACCC-08B48523CD2D}" srcOrd="4" destOrd="0" presId="urn:microsoft.com/office/officeart/2011/layout/TabList"/>
    <dgm:cxn modelId="{6F7AD216-61B2-42DB-AA1A-EF4F7F064FE2}" type="presParOf" srcId="{7101D140-A73F-463C-ACCC-08B48523CD2D}" destId="{6D9140B6-775F-4F04-99C2-FA4399F498C8}" srcOrd="0" destOrd="0" presId="urn:microsoft.com/office/officeart/2011/layout/TabList"/>
    <dgm:cxn modelId="{CF78F3C8-8BEF-426C-8E11-6BC6BCF9982A}" type="presParOf" srcId="{7101D140-A73F-463C-ACCC-08B48523CD2D}" destId="{FF32674F-E598-48AC-B99B-BDE63FD8B24A}" srcOrd="1" destOrd="0" presId="urn:microsoft.com/office/officeart/2011/layout/TabList"/>
    <dgm:cxn modelId="{C0DEA97A-D6BD-4A15-9984-479E52D43730}" type="presParOf" srcId="{7101D140-A73F-463C-ACCC-08B48523CD2D}" destId="{F88C993C-BBCC-4481-B7CF-39F2E450D101}" srcOrd="2" destOrd="0" presId="urn:microsoft.com/office/officeart/2011/layout/TabList"/>
    <dgm:cxn modelId="{3B534BD3-BBEC-4356-89D4-C5CDEB172231}" type="presParOf" srcId="{AF44F97D-9ADE-4461-9D83-E09D36642749}" destId="{BBA64649-4FE2-4514-AB98-F735DA49EF25}" srcOrd="5" destOrd="0" presId="urn:microsoft.com/office/officeart/2011/layout/TabList"/>
    <dgm:cxn modelId="{9722D423-8FF4-4C96-8068-D8FB09F534F5}" type="presParOf" srcId="{AF44F97D-9ADE-4461-9D83-E09D36642749}" destId="{DA6729CD-4CB0-4CD8-A971-0FAC2F228CD2}" srcOrd="6" destOrd="0" presId="urn:microsoft.com/office/officeart/2011/layout/TabList"/>
    <dgm:cxn modelId="{BC622AC1-0AB1-4A5A-A7B8-5CBC7D833AE6}" type="presParOf" srcId="{DA6729CD-4CB0-4CD8-A971-0FAC2F228CD2}" destId="{9BC05ACE-9DE8-43BC-B33A-A9532941BCB7}" srcOrd="0" destOrd="0" presId="urn:microsoft.com/office/officeart/2011/layout/TabList"/>
    <dgm:cxn modelId="{48D60442-522C-4A8D-A6B0-A73C4A514FD2}" type="presParOf" srcId="{DA6729CD-4CB0-4CD8-A971-0FAC2F228CD2}" destId="{2886039F-E8A6-4A2D-BB42-7A808541B204}" srcOrd="1" destOrd="0" presId="urn:microsoft.com/office/officeart/2011/layout/TabList"/>
    <dgm:cxn modelId="{235C51F6-5B16-4D78-8893-CCA4B8182139}" type="presParOf" srcId="{DA6729CD-4CB0-4CD8-A971-0FAC2F228CD2}" destId="{C08DA1A2-DBC1-4A6E-AF11-21763D5017AA}" srcOrd="2" destOrd="0" presId="urn:microsoft.com/office/officeart/2011/layout/TabList"/>
    <dgm:cxn modelId="{612FD1FA-224A-4773-847B-40E26FCFB980}" type="presParOf" srcId="{AF44F97D-9ADE-4461-9D83-E09D36642749}" destId="{0A72E2C7-9762-477F-A0E9-293F114AC486}" srcOrd="7" destOrd="0" presId="urn:microsoft.com/office/officeart/2011/layout/TabList"/>
    <dgm:cxn modelId="{C0075BDB-664F-4CE5-9542-8E06958053FF}" type="presParOf" srcId="{AF44F97D-9ADE-4461-9D83-E09D36642749}" destId="{01BE1D83-883B-4C7D-8D0E-0E51D2E84D85}" srcOrd="8" destOrd="0" presId="urn:microsoft.com/office/officeart/2011/layout/TabList"/>
    <dgm:cxn modelId="{9E13A231-7D4A-4027-BFA4-4410A86E00A8}" type="presParOf" srcId="{01BE1D83-883B-4C7D-8D0E-0E51D2E84D85}" destId="{45B0443E-C208-4986-B3E4-D207E34FA00E}" srcOrd="0" destOrd="0" presId="urn:microsoft.com/office/officeart/2011/layout/TabList"/>
    <dgm:cxn modelId="{C8DBD557-18E5-48C4-B636-C75E3831707B}" type="presParOf" srcId="{01BE1D83-883B-4C7D-8D0E-0E51D2E84D85}" destId="{B1AD2CF6-1DFA-4E2E-B7FB-5DA34585F018}" srcOrd="1" destOrd="0" presId="urn:microsoft.com/office/officeart/2011/layout/TabList"/>
    <dgm:cxn modelId="{09A2940B-E4CB-490B-ACA0-57ED3CB1832A}" type="presParOf" srcId="{01BE1D83-883B-4C7D-8D0E-0E51D2E84D85}" destId="{03AD460F-268A-4251-A035-864198B6BD1C}" srcOrd="2" destOrd="0" presId="urn:microsoft.com/office/officeart/2011/layout/TabList"/>
    <dgm:cxn modelId="{54DE934B-0BA4-4941-9D01-A188DCADA858}" type="presParOf" srcId="{AF44F97D-9ADE-4461-9D83-E09D36642749}" destId="{2C3849FD-58A2-4D3E-8577-EA0A5E53971D}" srcOrd="9" destOrd="0" presId="urn:microsoft.com/office/officeart/2011/layout/TabList"/>
    <dgm:cxn modelId="{52FEEBC0-3258-44B9-8C52-E8DA9CC0EB65}" type="presParOf" srcId="{AF44F97D-9ADE-4461-9D83-E09D36642749}" destId="{A9731E5F-9AF2-4976-994C-756ACE302478}" srcOrd="10" destOrd="0" presId="urn:microsoft.com/office/officeart/2011/layout/TabList"/>
    <dgm:cxn modelId="{7CDB169C-B3F2-4ACB-A49E-8851C4494EC5}" type="presParOf" srcId="{A9731E5F-9AF2-4976-994C-756ACE302478}" destId="{F13CE2CE-AFDE-4007-8CAD-C0C730D7AB06}" srcOrd="0" destOrd="0" presId="urn:microsoft.com/office/officeart/2011/layout/TabList"/>
    <dgm:cxn modelId="{B214D92D-9ACE-4680-A07C-8DC84253CEC0}" type="presParOf" srcId="{A9731E5F-9AF2-4976-994C-756ACE302478}" destId="{68498810-EC2D-4F8E-AAAB-303D5B9A6E4A}" srcOrd="1" destOrd="0" presId="urn:microsoft.com/office/officeart/2011/layout/TabList"/>
    <dgm:cxn modelId="{D5CE5C31-09F7-4D07-A016-12F312C83CFB}" type="presParOf" srcId="{A9731E5F-9AF2-4976-994C-756ACE302478}" destId="{F0FE5271-3C41-4FBD-AD36-090F3C208E3F}" srcOrd="2" destOrd="0" presId="urn:microsoft.com/office/officeart/2011/layout/TabLis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4308806"/>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584978"/>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861149"/>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2137320"/>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413492"/>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89663"/>
          <a:ext cx="5875654"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527670" y="303"/>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t>Technology is directed at vehicles along public roadways and most license plate images are retained for three minutes</a:t>
          </a:r>
        </a:p>
      </dsp:txBody>
      <dsp:txXfrm>
        <a:off x="1527670" y="303"/>
        <a:ext cx="4347984" cy="689360"/>
      </dsp:txXfrm>
    </dsp:sp>
    <dsp:sp modelId="{99F2924F-96BF-4178-A4B9-45E32D8D370E}">
      <dsp:nvSpPr>
        <dsp:cNvPr id="0" name=""/>
        <dsp:cNvSpPr/>
      </dsp:nvSpPr>
      <dsp:spPr>
        <a:xfrm>
          <a:off x="12038" y="303"/>
          <a:ext cx="1503594" cy="689360"/>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Technology Use</a:t>
          </a:r>
        </a:p>
      </dsp:txBody>
      <dsp:txXfrm>
        <a:off x="45696" y="33961"/>
        <a:ext cx="1436278" cy="655702"/>
      </dsp:txXfrm>
    </dsp:sp>
    <dsp:sp modelId="{06517A4C-2521-4F54-93CB-8B1D84E5F771}">
      <dsp:nvSpPr>
        <dsp:cNvPr id="0" name=""/>
        <dsp:cNvSpPr/>
      </dsp:nvSpPr>
      <dsp:spPr>
        <a:xfrm>
          <a:off x="1527670" y="724131"/>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PE management have received few, if any, sharing requests in prior years and the retention periods shorten the number of available records</a:t>
          </a:r>
        </a:p>
      </dsp:txBody>
      <dsp:txXfrm>
        <a:off x="1527670" y="724131"/>
        <a:ext cx="4347984" cy="689360"/>
      </dsp:txXfrm>
    </dsp:sp>
    <dsp:sp modelId="{8144CDC6-4F3C-41DC-9452-2518A05AD26D}">
      <dsp:nvSpPr>
        <dsp:cNvPr id="0" name=""/>
        <dsp:cNvSpPr/>
      </dsp:nvSpPr>
      <dsp:spPr>
        <a:xfrm>
          <a:off x="12038" y="724131"/>
          <a:ext cx="1503594" cy="689360"/>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Data Sharing</a:t>
          </a:r>
        </a:p>
      </dsp:txBody>
      <dsp:txXfrm>
        <a:off x="45696" y="757789"/>
        <a:ext cx="1436278" cy="655702"/>
      </dsp:txXfrm>
    </dsp:sp>
    <dsp:sp modelId="{6D9140B6-775F-4F04-99C2-FA4399F498C8}">
      <dsp:nvSpPr>
        <dsp:cNvPr id="0" name=""/>
        <dsp:cNvSpPr/>
      </dsp:nvSpPr>
      <dsp:spPr>
        <a:xfrm>
          <a:off x="1527670" y="1447960"/>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Most license plate reads are retained for only three minutes, except for possible scofflaw violations or possible stolen vehicles, which are retained for 90 days. Few personnel have access to either the ALPR-equipped vehicles or to the data generated by them</a:t>
          </a:r>
        </a:p>
      </dsp:txBody>
      <dsp:txXfrm>
        <a:off x="1527670" y="1447960"/>
        <a:ext cx="4347984" cy="689360"/>
      </dsp:txXfrm>
    </dsp:sp>
    <dsp:sp modelId="{FF32674F-E598-48AC-B99B-BDE63FD8B24A}">
      <dsp:nvSpPr>
        <dsp:cNvPr id="0" name=""/>
        <dsp:cNvSpPr/>
      </dsp:nvSpPr>
      <dsp:spPr>
        <a:xfrm>
          <a:off x="12038" y="1447960"/>
          <a:ext cx="1503594" cy="689360"/>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Data Security</a:t>
          </a:r>
        </a:p>
      </dsp:txBody>
      <dsp:txXfrm>
        <a:off x="45696" y="1481618"/>
        <a:ext cx="1436278" cy="655702"/>
      </dsp:txXfrm>
    </dsp:sp>
    <dsp:sp modelId="{9BC05ACE-9DE8-43BC-B33A-A9532941BCB7}">
      <dsp:nvSpPr>
        <dsp:cNvPr id="0" name=""/>
        <dsp:cNvSpPr/>
      </dsp:nvSpPr>
      <dsp:spPr>
        <a:xfrm>
          <a:off x="1527670" y="2171789"/>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License plate scans are retained for only three minutes, unless they match a criminal record or scofflaw violation, in which cases they are retained for 90 days</a:t>
          </a:r>
        </a:p>
        <a:p>
          <a:pPr marL="0" lvl="0" indent="0" algn="l" defTabSz="444500">
            <a:lnSpc>
              <a:spcPct val="90000"/>
            </a:lnSpc>
            <a:spcBef>
              <a:spcPct val="0"/>
            </a:spcBef>
            <a:spcAft>
              <a:spcPct val="35000"/>
            </a:spcAft>
            <a:buNone/>
          </a:pPr>
          <a:r>
            <a:rPr lang="en-US" sz="1000" kern="1200"/>
            <a:t>PE officers have some discretion in choosing patrol routes, which could result in certain locations being subject to higher rates of surveillance</a:t>
          </a:r>
        </a:p>
      </dsp:txBody>
      <dsp:txXfrm>
        <a:off x="1527670" y="2171789"/>
        <a:ext cx="4347984" cy="689360"/>
      </dsp:txXfrm>
    </dsp:sp>
    <dsp:sp modelId="{2886039F-E8A6-4A2D-BB42-7A808541B204}">
      <dsp:nvSpPr>
        <dsp:cNvPr id="0" name=""/>
        <dsp:cNvSpPr/>
      </dsp:nvSpPr>
      <dsp:spPr>
        <a:xfrm>
          <a:off x="12038" y="2171789"/>
          <a:ext cx="1503594" cy="689360"/>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Potentail Civil Liberties Impacts</a:t>
          </a:r>
        </a:p>
      </dsp:txBody>
      <dsp:txXfrm>
        <a:off x="45696" y="2205447"/>
        <a:ext cx="1436278" cy="655702"/>
      </dsp:txXfrm>
    </dsp:sp>
    <dsp:sp modelId="{45B0443E-C208-4986-B3E4-D207E34FA00E}">
      <dsp:nvSpPr>
        <dsp:cNvPr id="0" name=""/>
        <dsp:cNvSpPr/>
      </dsp:nvSpPr>
      <dsp:spPr>
        <a:xfrm>
          <a:off x="1527670" y="2895617"/>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new assessments, registered community concerns, or OPA complaints</a:t>
          </a:r>
        </a:p>
      </dsp:txBody>
      <dsp:txXfrm>
        <a:off x="1527670" y="2895617"/>
        <a:ext cx="4347984" cy="689360"/>
      </dsp:txXfrm>
    </dsp:sp>
    <dsp:sp modelId="{B1AD2CF6-1DFA-4E2E-B7FB-5DA34585F018}">
      <dsp:nvSpPr>
        <dsp:cNvPr id="0" name=""/>
        <dsp:cNvSpPr/>
      </dsp:nvSpPr>
      <dsp:spPr>
        <a:xfrm>
          <a:off x="12038" y="2895617"/>
          <a:ext cx="1503594" cy="689360"/>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Internal Assessments</a:t>
          </a:r>
        </a:p>
      </dsp:txBody>
      <dsp:txXfrm>
        <a:off x="45696" y="2929275"/>
        <a:ext cx="1436278" cy="655702"/>
      </dsp:txXfrm>
    </dsp:sp>
    <dsp:sp modelId="{F13CE2CE-AFDE-4007-8CAD-C0C730D7AB06}">
      <dsp:nvSpPr>
        <dsp:cNvPr id="0" name=""/>
        <dsp:cNvSpPr/>
      </dsp:nvSpPr>
      <dsp:spPr>
        <a:xfrm>
          <a:off x="1527670" y="3619446"/>
          <a:ext cx="4347984" cy="68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significant changes from the 2022 annual costs, $28,300</a:t>
          </a:r>
        </a:p>
      </dsp:txBody>
      <dsp:txXfrm>
        <a:off x="1527670" y="3619446"/>
        <a:ext cx="4347984" cy="689360"/>
      </dsp:txXfrm>
    </dsp:sp>
    <dsp:sp modelId="{68498810-EC2D-4F8E-AAAB-303D5B9A6E4A}">
      <dsp:nvSpPr>
        <dsp:cNvPr id="0" name=""/>
        <dsp:cNvSpPr/>
      </dsp:nvSpPr>
      <dsp:spPr>
        <a:xfrm>
          <a:off x="12038" y="3619446"/>
          <a:ext cx="1503594" cy="689360"/>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Costs</a:t>
          </a:r>
        </a:p>
      </dsp:txBody>
      <dsp:txXfrm>
        <a:off x="45696" y="3653104"/>
        <a:ext cx="1436278" cy="6557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3939262"/>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27751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61576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19540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29226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305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438351" y="277"/>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t>This technology is used sparingly: in 2023 there were fewer than ten deployments </a:t>
          </a:r>
        </a:p>
      </dsp:txBody>
      <dsp:txXfrm>
        <a:off x="1438351" y="277"/>
        <a:ext cx="4093768" cy="630237"/>
      </dsp:txXfrm>
    </dsp:sp>
    <dsp:sp modelId="{99F2924F-96BF-4178-A4B9-45E32D8D370E}">
      <dsp:nvSpPr>
        <dsp:cNvPr id="0" name=""/>
        <dsp:cNvSpPr/>
      </dsp:nvSpPr>
      <dsp:spPr>
        <a:xfrm>
          <a:off x="0" y="277"/>
          <a:ext cx="1438351" cy="630237"/>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Technology Use</a:t>
          </a:r>
        </a:p>
      </dsp:txBody>
      <dsp:txXfrm>
        <a:off x="30771" y="31048"/>
        <a:ext cx="1376809" cy="599466"/>
      </dsp:txXfrm>
    </dsp:sp>
    <dsp:sp modelId="{06517A4C-2521-4F54-93CB-8B1D84E5F771}">
      <dsp:nvSpPr>
        <dsp:cNvPr id="0" name=""/>
        <dsp:cNvSpPr/>
      </dsp:nvSpPr>
      <dsp:spPr>
        <a:xfrm>
          <a:off x="1438351" y="66202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Data collected are sensitive and case officers become the data custodians of audio recordings after deployment. Individually, case officers manage data sharing and, thus,  tracking all instances of data sharing has not been feasible</a:t>
          </a:r>
        </a:p>
      </dsp:txBody>
      <dsp:txXfrm>
        <a:off x="1438351" y="662026"/>
        <a:ext cx="4093768" cy="630237"/>
      </dsp:txXfrm>
    </dsp:sp>
    <dsp:sp modelId="{8144CDC6-4F3C-41DC-9452-2518A05AD26D}">
      <dsp:nvSpPr>
        <dsp:cNvPr id="0" name=""/>
        <dsp:cNvSpPr/>
      </dsp:nvSpPr>
      <dsp:spPr>
        <a:xfrm>
          <a:off x="0" y="662026"/>
          <a:ext cx="1438351" cy="630237"/>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Data Sharing</a:t>
          </a:r>
        </a:p>
      </dsp:txBody>
      <dsp:txXfrm>
        <a:off x="30771" y="692797"/>
        <a:ext cx="1376809" cy="599466"/>
      </dsp:txXfrm>
    </dsp:sp>
    <dsp:sp modelId="{6D9140B6-775F-4F04-99C2-FA4399F498C8}">
      <dsp:nvSpPr>
        <dsp:cNvPr id="0" name=""/>
        <dsp:cNvSpPr/>
      </dsp:nvSpPr>
      <dsp:spPr>
        <a:xfrm>
          <a:off x="1438351" y="132377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Data collected are stored on external disks/discs. Case officers are responsible for submitting stored recordings to the Evidence Unit</a:t>
          </a:r>
        </a:p>
      </dsp:txBody>
      <dsp:txXfrm>
        <a:off x="1438351" y="1323776"/>
        <a:ext cx="4093768" cy="630237"/>
      </dsp:txXfrm>
    </dsp:sp>
    <dsp:sp modelId="{FF32674F-E598-48AC-B99B-BDE63FD8B24A}">
      <dsp:nvSpPr>
        <dsp:cNvPr id="0" name=""/>
        <dsp:cNvSpPr/>
      </dsp:nvSpPr>
      <dsp:spPr>
        <a:xfrm>
          <a:off x="0" y="1323776"/>
          <a:ext cx="1438351" cy="630237"/>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Data Security</a:t>
          </a:r>
        </a:p>
      </dsp:txBody>
      <dsp:txXfrm>
        <a:off x="30771" y="1354547"/>
        <a:ext cx="1376809" cy="599466"/>
      </dsp:txXfrm>
    </dsp:sp>
    <dsp:sp modelId="{9BC05ACE-9DE8-43BC-B33A-A9532941BCB7}">
      <dsp:nvSpPr>
        <dsp:cNvPr id="0" name=""/>
        <dsp:cNvSpPr/>
      </dsp:nvSpPr>
      <dsp:spPr>
        <a:xfrm>
          <a:off x="1438351" y="19855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Requests to use this surveillance technology must adhere to the Washington Privacy Act, Chapter 9.73, which requires two-party consent. Two-party consent to record can be satisfied with a warrant approving the collection of audio</a:t>
          </a:r>
        </a:p>
      </dsp:txBody>
      <dsp:txXfrm>
        <a:off x="1438351" y="1985525"/>
        <a:ext cx="4093768" cy="630237"/>
      </dsp:txXfrm>
    </dsp:sp>
    <dsp:sp modelId="{2886039F-E8A6-4A2D-BB42-7A808541B204}">
      <dsp:nvSpPr>
        <dsp:cNvPr id="0" name=""/>
        <dsp:cNvSpPr/>
      </dsp:nvSpPr>
      <dsp:spPr>
        <a:xfrm>
          <a:off x="0" y="1985525"/>
          <a:ext cx="1438351" cy="630237"/>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Potentail Civil Liberties Impacts</a:t>
          </a:r>
        </a:p>
      </dsp:txBody>
      <dsp:txXfrm>
        <a:off x="30771" y="2016296"/>
        <a:ext cx="1376809" cy="599466"/>
      </dsp:txXfrm>
    </dsp:sp>
    <dsp:sp modelId="{45B0443E-C208-4986-B3E4-D207E34FA00E}">
      <dsp:nvSpPr>
        <dsp:cNvPr id="0" name=""/>
        <dsp:cNvSpPr/>
      </dsp:nvSpPr>
      <dsp:spPr>
        <a:xfrm>
          <a:off x="1438351" y="264727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new assessments, registered community concerns, or OPA complaints</a:t>
          </a:r>
        </a:p>
      </dsp:txBody>
      <dsp:txXfrm>
        <a:off x="1438351" y="2647275"/>
        <a:ext cx="4093768" cy="630237"/>
      </dsp:txXfrm>
    </dsp:sp>
    <dsp:sp modelId="{B1AD2CF6-1DFA-4E2E-B7FB-5DA34585F018}">
      <dsp:nvSpPr>
        <dsp:cNvPr id="0" name=""/>
        <dsp:cNvSpPr/>
      </dsp:nvSpPr>
      <dsp:spPr>
        <a:xfrm>
          <a:off x="0" y="2647275"/>
          <a:ext cx="1438351" cy="630237"/>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Internal Assessments</a:t>
          </a:r>
        </a:p>
      </dsp:txBody>
      <dsp:txXfrm>
        <a:off x="30771" y="2678046"/>
        <a:ext cx="1376809" cy="599466"/>
      </dsp:txXfrm>
    </dsp:sp>
    <dsp:sp modelId="{F13CE2CE-AFDE-4007-8CAD-C0C730D7AB06}">
      <dsp:nvSpPr>
        <dsp:cNvPr id="0" name=""/>
        <dsp:cNvSpPr/>
      </dsp:nvSpPr>
      <dsp:spPr>
        <a:xfrm>
          <a:off x="1438351" y="33090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significant changes from the 2022 annual costs, $7,342.65</a:t>
          </a:r>
        </a:p>
      </dsp:txBody>
      <dsp:txXfrm>
        <a:off x="1438351" y="3309025"/>
        <a:ext cx="4093768" cy="630237"/>
      </dsp:txXfrm>
    </dsp:sp>
    <dsp:sp modelId="{68498810-EC2D-4F8E-AAAB-303D5B9A6E4A}">
      <dsp:nvSpPr>
        <dsp:cNvPr id="0" name=""/>
        <dsp:cNvSpPr/>
      </dsp:nvSpPr>
      <dsp:spPr>
        <a:xfrm>
          <a:off x="0" y="3309025"/>
          <a:ext cx="1438351" cy="630237"/>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t>Costs</a:t>
          </a:r>
        </a:p>
      </dsp:txBody>
      <dsp:txXfrm>
        <a:off x="30771" y="3339796"/>
        <a:ext cx="1376809" cy="599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3939262"/>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27751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61576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19540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29226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305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438351" y="277"/>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ysClr val="windowText" lastClr="000000"/>
              </a:solidFill>
            </a:rPr>
            <a:t>Situational Awareness Cameras are used sparingly and in dangerous situations: in 2023 these cameras were deployed for approximately 20 incidents</a:t>
          </a:r>
        </a:p>
      </dsp:txBody>
      <dsp:txXfrm>
        <a:off x="1438351" y="277"/>
        <a:ext cx="4093768" cy="630237"/>
      </dsp:txXfrm>
    </dsp:sp>
    <dsp:sp modelId="{99F2924F-96BF-4178-A4B9-45E32D8D370E}">
      <dsp:nvSpPr>
        <dsp:cNvPr id="0" name=""/>
        <dsp:cNvSpPr/>
      </dsp:nvSpPr>
      <dsp:spPr>
        <a:xfrm>
          <a:off x="0" y="277"/>
          <a:ext cx="1438351" cy="630237"/>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Technology Use</a:t>
          </a:r>
        </a:p>
      </dsp:txBody>
      <dsp:txXfrm>
        <a:off x="30771" y="31048"/>
        <a:ext cx="1376809" cy="599466"/>
      </dsp:txXfrm>
    </dsp:sp>
    <dsp:sp modelId="{06517A4C-2521-4F54-93CB-8B1D84E5F771}">
      <dsp:nvSpPr>
        <dsp:cNvPr id="0" name=""/>
        <dsp:cNvSpPr/>
      </dsp:nvSpPr>
      <dsp:spPr>
        <a:xfrm>
          <a:off x="1438351" y="66202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Situational Awareness Cameras do not record, and, thus, there are no data available to be shared</a:t>
          </a:r>
        </a:p>
      </dsp:txBody>
      <dsp:txXfrm>
        <a:off x="1438351" y="662026"/>
        <a:ext cx="4093768" cy="630237"/>
      </dsp:txXfrm>
    </dsp:sp>
    <dsp:sp modelId="{8144CDC6-4F3C-41DC-9452-2518A05AD26D}">
      <dsp:nvSpPr>
        <dsp:cNvPr id="0" name=""/>
        <dsp:cNvSpPr/>
      </dsp:nvSpPr>
      <dsp:spPr>
        <a:xfrm>
          <a:off x="0" y="662026"/>
          <a:ext cx="1438351" cy="630237"/>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Sharing</a:t>
          </a:r>
        </a:p>
      </dsp:txBody>
      <dsp:txXfrm>
        <a:off x="30771" y="692797"/>
        <a:ext cx="1376809" cy="599466"/>
      </dsp:txXfrm>
    </dsp:sp>
    <dsp:sp modelId="{6D9140B6-775F-4F04-99C2-FA4399F498C8}">
      <dsp:nvSpPr>
        <dsp:cNvPr id="0" name=""/>
        <dsp:cNvSpPr/>
      </dsp:nvSpPr>
      <dsp:spPr>
        <a:xfrm>
          <a:off x="1438351" y="132377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Situational Awareness Cameras do not record, and, thus, there are no data to be safeguarded or stored</a:t>
          </a:r>
        </a:p>
      </dsp:txBody>
      <dsp:txXfrm>
        <a:off x="1438351" y="1323776"/>
        <a:ext cx="4093768" cy="630237"/>
      </dsp:txXfrm>
    </dsp:sp>
    <dsp:sp modelId="{FF32674F-E598-48AC-B99B-BDE63FD8B24A}">
      <dsp:nvSpPr>
        <dsp:cNvPr id="0" name=""/>
        <dsp:cNvSpPr/>
      </dsp:nvSpPr>
      <dsp:spPr>
        <a:xfrm>
          <a:off x="0" y="1323776"/>
          <a:ext cx="1438351" cy="630237"/>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Security</a:t>
          </a:r>
        </a:p>
      </dsp:txBody>
      <dsp:txXfrm>
        <a:off x="30771" y="1354547"/>
        <a:ext cx="1376809" cy="599466"/>
      </dsp:txXfrm>
    </dsp:sp>
    <dsp:sp modelId="{9BC05ACE-9DE8-43BC-B33A-A9532941BCB7}">
      <dsp:nvSpPr>
        <dsp:cNvPr id="0" name=""/>
        <dsp:cNvSpPr/>
      </dsp:nvSpPr>
      <dsp:spPr>
        <a:xfrm>
          <a:off x="1438351" y="19855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Situational Awareness Cameras are used to provide additional safety in dangerous situations, and - when used according to the SIR - these cameras are not expected to impact civil liberties or have disproportionate impacts</a:t>
          </a:r>
        </a:p>
      </dsp:txBody>
      <dsp:txXfrm>
        <a:off x="1438351" y="1985525"/>
        <a:ext cx="4093768" cy="630237"/>
      </dsp:txXfrm>
    </dsp:sp>
    <dsp:sp modelId="{2886039F-E8A6-4A2D-BB42-7A808541B204}">
      <dsp:nvSpPr>
        <dsp:cNvPr id="0" name=""/>
        <dsp:cNvSpPr/>
      </dsp:nvSpPr>
      <dsp:spPr>
        <a:xfrm>
          <a:off x="0" y="1985525"/>
          <a:ext cx="1438351" cy="630237"/>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Potentail Civil Liberties Impacts</a:t>
          </a:r>
        </a:p>
      </dsp:txBody>
      <dsp:txXfrm>
        <a:off x="30771" y="2016296"/>
        <a:ext cx="1376809" cy="599466"/>
      </dsp:txXfrm>
    </dsp:sp>
    <dsp:sp modelId="{45B0443E-C208-4986-B3E4-D207E34FA00E}">
      <dsp:nvSpPr>
        <dsp:cNvPr id="0" name=""/>
        <dsp:cNvSpPr/>
      </dsp:nvSpPr>
      <dsp:spPr>
        <a:xfrm>
          <a:off x="1438351" y="264727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new assessments, registered community concerns, or OPA complaints</a:t>
          </a:r>
          <a:endParaRPr lang="en-US" sz="1000" kern="1200">
            <a:solidFill>
              <a:sysClr val="windowText" lastClr="000000"/>
            </a:solidFill>
          </a:endParaRPr>
        </a:p>
      </dsp:txBody>
      <dsp:txXfrm>
        <a:off x="1438351" y="2647275"/>
        <a:ext cx="4093768" cy="630237"/>
      </dsp:txXfrm>
    </dsp:sp>
    <dsp:sp modelId="{B1AD2CF6-1DFA-4E2E-B7FB-5DA34585F018}">
      <dsp:nvSpPr>
        <dsp:cNvPr id="0" name=""/>
        <dsp:cNvSpPr/>
      </dsp:nvSpPr>
      <dsp:spPr>
        <a:xfrm>
          <a:off x="0" y="2647275"/>
          <a:ext cx="1438351" cy="630237"/>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Internal Assessments</a:t>
          </a:r>
        </a:p>
      </dsp:txBody>
      <dsp:txXfrm>
        <a:off x="30771" y="2678046"/>
        <a:ext cx="1376809" cy="599466"/>
      </dsp:txXfrm>
    </dsp:sp>
    <dsp:sp modelId="{F13CE2CE-AFDE-4007-8CAD-C0C730D7AB06}">
      <dsp:nvSpPr>
        <dsp:cNvPr id="0" name=""/>
        <dsp:cNvSpPr/>
      </dsp:nvSpPr>
      <dsp:spPr>
        <a:xfrm>
          <a:off x="1438351" y="33090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No significant changes from the 2022 annual costs, approximately $200</a:t>
          </a:r>
        </a:p>
      </dsp:txBody>
      <dsp:txXfrm>
        <a:off x="1438351" y="3309025"/>
        <a:ext cx="4093768" cy="630237"/>
      </dsp:txXfrm>
    </dsp:sp>
    <dsp:sp modelId="{68498810-EC2D-4F8E-AAAB-303D5B9A6E4A}">
      <dsp:nvSpPr>
        <dsp:cNvPr id="0" name=""/>
        <dsp:cNvSpPr/>
      </dsp:nvSpPr>
      <dsp:spPr>
        <a:xfrm>
          <a:off x="0" y="3309025"/>
          <a:ext cx="1438351" cy="630237"/>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Costs</a:t>
          </a:r>
        </a:p>
      </dsp:txBody>
      <dsp:txXfrm>
        <a:off x="30771" y="3339796"/>
        <a:ext cx="1376809" cy="5994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3939262"/>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27751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61576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19540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29226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305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438351" y="277"/>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ysClr val="windowText" lastClr="000000"/>
              </a:solidFill>
            </a:rPr>
            <a:t>This technology is used every day, logging all calls (emergency, non-emergency, and dispatch)</a:t>
          </a:r>
        </a:p>
      </dsp:txBody>
      <dsp:txXfrm>
        <a:off x="1438351" y="277"/>
        <a:ext cx="4093768" cy="630237"/>
      </dsp:txXfrm>
    </dsp:sp>
    <dsp:sp modelId="{99F2924F-96BF-4178-A4B9-45E32D8D370E}">
      <dsp:nvSpPr>
        <dsp:cNvPr id="0" name=""/>
        <dsp:cNvSpPr/>
      </dsp:nvSpPr>
      <dsp:spPr>
        <a:xfrm>
          <a:off x="0" y="277"/>
          <a:ext cx="1438351" cy="630237"/>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Technology Use</a:t>
          </a:r>
        </a:p>
      </dsp:txBody>
      <dsp:txXfrm>
        <a:off x="30771" y="31048"/>
        <a:ext cx="1376809" cy="599466"/>
      </dsp:txXfrm>
    </dsp:sp>
    <dsp:sp modelId="{06517A4C-2521-4F54-93CB-8B1D84E5F771}">
      <dsp:nvSpPr>
        <dsp:cNvPr id="0" name=""/>
        <dsp:cNvSpPr/>
      </dsp:nvSpPr>
      <dsp:spPr>
        <a:xfrm>
          <a:off x="1438351" y="66202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This technology generates many records. In prior years, CARE personnel shared between four and five thousand calls relevant to investigations</a:t>
          </a:r>
        </a:p>
      </dsp:txBody>
      <dsp:txXfrm>
        <a:off x="1438351" y="662026"/>
        <a:ext cx="4093768" cy="630237"/>
      </dsp:txXfrm>
    </dsp:sp>
    <dsp:sp modelId="{8144CDC6-4F3C-41DC-9452-2518A05AD26D}">
      <dsp:nvSpPr>
        <dsp:cNvPr id="0" name=""/>
        <dsp:cNvSpPr/>
      </dsp:nvSpPr>
      <dsp:spPr>
        <a:xfrm>
          <a:off x="0" y="662026"/>
          <a:ext cx="1438351" cy="630237"/>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Sharing</a:t>
          </a:r>
        </a:p>
      </dsp:txBody>
      <dsp:txXfrm>
        <a:off x="30771" y="692797"/>
        <a:ext cx="1376809" cy="599466"/>
      </dsp:txXfrm>
    </dsp:sp>
    <dsp:sp modelId="{6D9140B6-775F-4F04-99C2-FA4399F498C8}">
      <dsp:nvSpPr>
        <dsp:cNvPr id="0" name=""/>
        <dsp:cNvSpPr/>
      </dsp:nvSpPr>
      <dsp:spPr>
        <a:xfrm>
          <a:off x="1438351" y="132377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Calls are stored for 90 days before being purged. Any calls related to ongoing investigations are stored in a secure server with limited access</a:t>
          </a:r>
        </a:p>
      </dsp:txBody>
      <dsp:txXfrm>
        <a:off x="1438351" y="1323776"/>
        <a:ext cx="4093768" cy="630237"/>
      </dsp:txXfrm>
    </dsp:sp>
    <dsp:sp modelId="{FF32674F-E598-48AC-B99B-BDE63FD8B24A}">
      <dsp:nvSpPr>
        <dsp:cNvPr id="0" name=""/>
        <dsp:cNvSpPr/>
      </dsp:nvSpPr>
      <dsp:spPr>
        <a:xfrm>
          <a:off x="0" y="1323776"/>
          <a:ext cx="1438351" cy="630237"/>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Security</a:t>
          </a:r>
        </a:p>
      </dsp:txBody>
      <dsp:txXfrm>
        <a:off x="30771" y="1354547"/>
        <a:ext cx="1376809" cy="599466"/>
      </dsp:txXfrm>
    </dsp:sp>
    <dsp:sp modelId="{9BC05ACE-9DE8-43BC-B33A-A9532941BCB7}">
      <dsp:nvSpPr>
        <dsp:cNvPr id="0" name=""/>
        <dsp:cNvSpPr/>
      </dsp:nvSpPr>
      <dsp:spPr>
        <a:xfrm>
          <a:off x="1438351" y="19855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The technology itself is not likely to impact civil liberties or have disproportionate impacts on disadvantaged populations</a:t>
          </a:r>
        </a:p>
      </dsp:txBody>
      <dsp:txXfrm>
        <a:off x="1438351" y="1985525"/>
        <a:ext cx="4093768" cy="630237"/>
      </dsp:txXfrm>
    </dsp:sp>
    <dsp:sp modelId="{2886039F-E8A6-4A2D-BB42-7A808541B204}">
      <dsp:nvSpPr>
        <dsp:cNvPr id="0" name=""/>
        <dsp:cNvSpPr/>
      </dsp:nvSpPr>
      <dsp:spPr>
        <a:xfrm>
          <a:off x="0" y="1985525"/>
          <a:ext cx="1438351" cy="630237"/>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Potentail Civil Liberties Impacts</a:t>
          </a:r>
        </a:p>
      </dsp:txBody>
      <dsp:txXfrm>
        <a:off x="30771" y="2016296"/>
        <a:ext cx="1376809" cy="599466"/>
      </dsp:txXfrm>
    </dsp:sp>
    <dsp:sp modelId="{45B0443E-C208-4986-B3E4-D207E34FA00E}">
      <dsp:nvSpPr>
        <dsp:cNvPr id="0" name=""/>
        <dsp:cNvSpPr/>
      </dsp:nvSpPr>
      <dsp:spPr>
        <a:xfrm>
          <a:off x="1438351" y="264727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new assessments, registered community concerns, or OPA complaints</a:t>
          </a:r>
          <a:endParaRPr lang="en-US" sz="1000" kern="1200">
            <a:solidFill>
              <a:sysClr val="windowText" lastClr="000000"/>
            </a:solidFill>
          </a:endParaRPr>
        </a:p>
      </dsp:txBody>
      <dsp:txXfrm>
        <a:off x="1438351" y="2647275"/>
        <a:ext cx="4093768" cy="630237"/>
      </dsp:txXfrm>
    </dsp:sp>
    <dsp:sp modelId="{B1AD2CF6-1DFA-4E2E-B7FB-5DA34585F018}">
      <dsp:nvSpPr>
        <dsp:cNvPr id="0" name=""/>
        <dsp:cNvSpPr/>
      </dsp:nvSpPr>
      <dsp:spPr>
        <a:xfrm>
          <a:off x="0" y="2647275"/>
          <a:ext cx="1438351" cy="630237"/>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Internal Assessments</a:t>
          </a:r>
        </a:p>
      </dsp:txBody>
      <dsp:txXfrm>
        <a:off x="30771" y="2678046"/>
        <a:ext cx="1376809" cy="599466"/>
      </dsp:txXfrm>
    </dsp:sp>
    <dsp:sp modelId="{F13CE2CE-AFDE-4007-8CAD-C0C730D7AB06}">
      <dsp:nvSpPr>
        <dsp:cNvPr id="0" name=""/>
        <dsp:cNvSpPr/>
      </dsp:nvSpPr>
      <dsp:spPr>
        <a:xfrm>
          <a:off x="1438351" y="33090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No significant changes from the 2022 annual costs, approximately $50,000</a:t>
          </a:r>
          <a:endParaRPr lang="en-US" sz="1300" kern="1200">
            <a:solidFill>
              <a:sysClr val="windowText" lastClr="000000"/>
            </a:solidFill>
          </a:endParaRPr>
        </a:p>
      </dsp:txBody>
      <dsp:txXfrm>
        <a:off x="1438351" y="3309025"/>
        <a:ext cx="4093768" cy="630237"/>
      </dsp:txXfrm>
    </dsp:sp>
    <dsp:sp modelId="{68498810-EC2D-4F8E-AAAB-303D5B9A6E4A}">
      <dsp:nvSpPr>
        <dsp:cNvPr id="0" name=""/>
        <dsp:cNvSpPr/>
      </dsp:nvSpPr>
      <dsp:spPr>
        <a:xfrm>
          <a:off x="0" y="3309025"/>
          <a:ext cx="1438351" cy="630237"/>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Costs</a:t>
          </a:r>
        </a:p>
      </dsp:txBody>
      <dsp:txXfrm>
        <a:off x="30771" y="3339796"/>
        <a:ext cx="1376809" cy="59946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3939262"/>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27751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61576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19540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29226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305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438351" y="277"/>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ysClr val="windowText" lastClr="000000"/>
              </a:solidFill>
            </a:rPr>
            <a:t>RTCC personnel use this technology infrequently and is generally used for crime trend analyses and to visualize complex criminal conspiracies and cases</a:t>
          </a:r>
        </a:p>
      </dsp:txBody>
      <dsp:txXfrm>
        <a:off x="1438351" y="277"/>
        <a:ext cx="4093768" cy="630237"/>
      </dsp:txXfrm>
    </dsp:sp>
    <dsp:sp modelId="{99F2924F-96BF-4178-A4B9-45E32D8D370E}">
      <dsp:nvSpPr>
        <dsp:cNvPr id="0" name=""/>
        <dsp:cNvSpPr/>
      </dsp:nvSpPr>
      <dsp:spPr>
        <a:xfrm>
          <a:off x="0" y="277"/>
          <a:ext cx="1438351" cy="630237"/>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Technology Use</a:t>
          </a:r>
        </a:p>
      </dsp:txBody>
      <dsp:txXfrm>
        <a:off x="30771" y="31048"/>
        <a:ext cx="1376809" cy="599466"/>
      </dsp:txXfrm>
    </dsp:sp>
    <dsp:sp modelId="{06517A4C-2521-4F54-93CB-8B1D84E5F771}">
      <dsp:nvSpPr>
        <dsp:cNvPr id="0" name=""/>
        <dsp:cNvSpPr/>
      </dsp:nvSpPr>
      <dsp:spPr>
        <a:xfrm>
          <a:off x="1438351" y="66202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The technology itself does not collect or create surveillance data; rather, it visualizes investigation information. Visualizations may be shared with courts when the investigation is complete and moves into prosecution</a:t>
          </a:r>
        </a:p>
      </dsp:txBody>
      <dsp:txXfrm>
        <a:off x="1438351" y="662026"/>
        <a:ext cx="4093768" cy="630237"/>
      </dsp:txXfrm>
    </dsp:sp>
    <dsp:sp modelId="{8144CDC6-4F3C-41DC-9452-2518A05AD26D}">
      <dsp:nvSpPr>
        <dsp:cNvPr id="0" name=""/>
        <dsp:cNvSpPr/>
      </dsp:nvSpPr>
      <dsp:spPr>
        <a:xfrm>
          <a:off x="0" y="662026"/>
          <a:ext cx="1438351" cy="630237"/>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Sharing</a:t>
          </a:r>
        </a:p>
      </dsp:txBody>
      <dsp:txXfrm>
        <a:off x="30771" y="692797"/>
        <a:ext cx="1376809" cy="599466"/>
      </dsp:txXfrm>
    </dsp:sp>
    <dsp:sp modelId="{6D9140B6-775F-4F04-99C2-FA4399F498C8}">
      <dsp:nvSpPr>
        <dsp:cNvPr id="0" name=""/>
        <dsp:cNvSpPr/>
      </dsp:nvSpPr>
      <dsp:spPr>
        <a:xfrm>
          <a:off x="1438351" y="132377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The technology itself does not collect or create surveillance data; those data are secured in CJIS-compliant databases. Visualizations are stored in a local server operated by RTCC personnel</a:t>
          </a:r>
        </a:p>
      </dsp:txBody>
      <dsp:txXfrm>
        <a:off x="1438351" y="1323776"/>
        <a:ext cx="4093768" cy="630237"/>
      </dsp:txXfrm>
    </dsp:sp>
    <dsp:sp modelId="{FF32674F-E598-48AC-B99B-BDE63FD8B24A}">
      <dsp:nvSpPr>
        <dsp:cNvPr id="0" name=""/>
        <dsp:cNvSpPr/>
      </dsp:nvSpPr>
      <dsp:spPr>
        <a:xfrm>
          <a:off x="0" y="1323776"/>
          <a:ext cx="1438351" cy="630237"/>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Security</a:t>
          </a:r>
        </a:p>
      </dsp:txBody>
      <dsp:txXfrm>
        <a:off x="30771" y="1354547"/>
        <a:ext cx="1376809" cy="599466"/>
      </dsp:txXfrm>
    </dsp:sp>
    <dsp:sp modelId="{9BC05ACE-9DE8-43BC-B33A-A9532941BCB7}">
      <dsp:nvSpPr>
        <dsp:cNvPr id="0" name=""/>
        <dsp:cNvSpPr/>
      </dsp:nvSpPr>
      <dsp:spPr>
        <a:xfrm>
          <a:off x="1438351" y="19855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The technology itself is not likely to impact civil liberties or have disproportionate impacts on disadvantaged populations</a:t>
          </a:r>
        </a:p>
      </dsp:txBody>
      <dsp:txXfrm>
        <a:off x="1438351" y="1985525"/>
        <a:ext cx="4093768" cy="630237"/>
      </dsp:txXfrm>
    </dsp:sp>
    <dsp:sp modelId="{2886039F-E8A6-4A2D-BB42-7A808541B204}">
      <dsp:nvSpPr>
        <dsp:cNvPr id="0" name=""/>
        <dsp:cNvSpPr/>
      </dsp:nvSpPr>
      <dsp:spPr>
        <a:xfrm>
          <a:off x="0" y="1985525"/>
          <a:ext cx="1438351" cy="630237"/>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Potentail Civil Liberties Impacts</a:t>
          </a:r>
        </a:p>
      </dsp:txBody>
      <dsp:txXfrm>
        <a:off x="30771" y="2016296"/>
        <a:ext cx="1376809" cy="599466"/>
      </dsp:txXfrm>
    </dsp:sp>
    <dsp:sp modelId="{45B0443E-C208-4986-B3E4-D207E34FA00E}">
      <dsp:nvSpPr>
        <dsp:cNvPr id="0" name=""/>
        <dsp:cNvSpPr/>
      </dsp:nvSpPr>
      <dsp:spPr>
        <a:xfrm>
          <a:off x="1438351" y="264727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t>No new assessments, registered community concerns, or OPA complaints</a:t>
          </a:r>
          <a:endParaRPr lang="en-US" sz="1000" kern="1200">
            <a:solidFill>
              <a:sysClr val="windowText" lastClr="000000"/>
            </a:solidFill>
          </a:endParaRPr>
        </a:p>
      </dsp:txBody>
      <dsp:txXfrm>
        <a:off x="1438351" y="2647275"/>
        <a:ext cx="4093768" cy="630237"/>
      </dsp:txXfrm>
    </dsp:sp>
    <dsp:sp modelId="{B1AD2CF6-1DFA-4E2E-B7FB-5DA34585F018}">
      <dsp:nvSpPr>
        <dsp:cNvPr id="0" name=""/>
        <dsp:cNvSpPr/>
      </dsp:nvSpPr>
      <dsp:spPr>
        <a:xfrm>
          <a:off x="0" y="2647275"/>
          <a:ext cx="1438351" cy="630237"/>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Internal Assessments</a:t>
          </a:r>
        </a:p>
      </dsp:txBody>
      <dsp:txXfrm>
        <a:off x="30771" y="2678046"/>
        <a:ext cx="1376809" cy="599466"/>
      </dsp:txXfrm>
    </dsp:sp>
    <dsp:sp modelId="{F13CE2CE-AFDE-4007-8CAD-C0C730D7AB06}">
      <dsp:nvSpPr>
        <dsp:cNvPr id="0" name=""/>
        <dsp:cNvSpPr/>
      </dsp:nvSpPr>
      <dsp:spPr>
        <a:xfrm>
          <a:off x="1438351" y="33090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No significant changes from the 2022 annual costs, approximately $25,000</a:t>
          </a:r>
        </a:p>
      </dsp:txBody>
      <dsp:txXfrm>
        <a:off x="1438351" y="3309025"/>
        <a:ext cx="4093768" cy="630237"/>
      </dsp:txXfrm>
    </dsp:sp>
    <dsp:sp modelId="{68498810-EC2D-4F8E-AAAB-303D5B9A6E4A}">
      <dsp:nvSpPr>
        <dsp:cNvPr id="0" name=""/>
        <dsp:cNvSpPr/>
      </dsp:nvSpPr>
      <dsp:spPr>
        <a:xfrm>
          <a:off x="0" y="3309025"/>
          <a:ext cx="1438351" cy="630237"/>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Costs</a:t>
          </a:r>
        </a:p>
      </dsp:txBody>
      <dsp:txXfrm>
        <a:off x="30771" y="3339796"/>
        <a:ext cx="1376809" cy="59946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E5271-3C41-4FBD-AD36-090F3C208E3F}">
      <dsp:nvSpPr>
        <dsp:cNvPr id="0" name=""/>
        <dsp:cNvSpPr/>
      </dsp:nvSpPr>
      <dsp:spPr>
        <a:xfrm>
          <a:off x="0" y="3939262"/>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460F-268A-4251-A035-864198B6BD1C}">
      <dsp:nvSpPr>
        <dsp:cNvPr id="0" name=""/>
        <dsp:cNvSpPr/>
      </dsp:nvSpPr>
      <dsp:spPr>
        <a:xfrm>
          <a:off x="0" y="327751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DA1A2-DBC1-4A6E-AF11-21763D5017AA}">
      <dsp:nvSpPr>
        <dsp:cNvPr id="0" name=""/>
        <dsp:cNvSpPr/>
      </dsp:nvSpPr>
      <dsp:spPr>
        <a:xfrm>
          <a:off x="0" y="2615763"/>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993C-BBCC-4481-B7CF-39F2E450D101}">
      <dsp:nvSpPr>
        <dsp:cNvPr id="0" name=""/>
        <dsp:cNvSpPr/>
      </dsp:nvSpPr>
      <dsp:spPr>
        <a:xfrm>
          <a:off x="0" y="19540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C42597-44E7-4346-84A4-AD1E1C5BB30E}">
      <dsp:nvSpPr>
        <dsp:cNvPr id="0" name=""/>
        <dsp:cNvSpPr/>
      </dsp:nvSpPr>
      <dsp:spPr>
        <a:xfrm>
          <a:off x="0" y="129226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804C0-9068-4E5F-988D-854206564AB3}">
      <dsp:nvSpPr>
        <dsp:cNvPr id="0" name=""/>
        <dsp:cNvSpPr/>
      </dsp:nvSpPr>
      <dsp:spPr>
        <a:xfrm>
          <a:off x="0" y="630514"/>
          <a:ext cx="5532119" cy="0"/>
        </a:xfrm>
        <a:prstGeom prst="line">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BF0242-28CD-4433-993D-CCDF35F2C480}">
      <dsp:nvSpPr>
        <dsp:cNvPr id="0" name=""/>
        <dsp:cNvSpPr/>
      </dsp:nvSpPr>
      <dsp:spPr>
        <a:xfrm>
          <a:off x="1438351" y="277"/>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ysClr val="windowText" lastClr="000000"/>
              </a:solidFill>
            </a:rPr>
            <a:t>Video Recording Systems are used every day: they monitor BAC collection areas, interview rooms, and holding cells</a:t>
          </a:r>
        </a:p>
      </dsp:txBody>
      <dsp:txXfrm>
        <a:off x="1438351" y="277"/>
        <a:ext cx="4093768" cy="630237"/>
      </dsp:txXfrm>
    </dsp:sp>
    <dsp:sp modelId="{99F2924F-96BF-4178-A4B9-45E32D8D370E}">
      <dsp:nvSpPr>
        <dsp:cNvPr id="0" name=""/>
        <dsp:cNvSpPr/>
      </dsp:nvSpPr>
      <dsp:spPr>
        <a:xfrm>
          <a:off x="0" y="277"/>
          <a:ext cx="1438351" cy="630237"/>
        </a:xfrm>
        <a:prstGeom prst="round2SameRect">
          <a:avLst>
            <a:gd name="adj1" fmla="val 16670"/>
            <a:gd name="adj2" fmla="val 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Technology Use</a:t>
          </a:r>
        </a:p>
      </dsp:txBody>
      <dsp:txXfrm>
        <a:off x="30771" y="31048"/>
        <a:ext cx="1376809" cy="599466"/>
      </dsp:txXfrm>
    </dsp:sp>
    <dsp:sp modelId="{06517A4C-2521-4F54-93CB-8B1D84E5F771}">
      <dsp:nvSpPr>
        <dsp:cNvPr id="0" name=""/>
        <dsp:cNvSpPr/>
      </dsp:nvSpPr>
      <dsp:spPr>
        <a:xfrm>
          <a:off x="1438351" y="66202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Sharing of audio/video recording occurs rarely: whenever sharing does occur, it happens in the context of prosecutions</a:t>
          </a:r>
        </a:p>
      </dsp:txBody>
      <dsp:txXfrm>
        <a:off x="1438351" y="662026"/>
        <a:ext cx="4093768" cy="630237"/>
      </dsp:txXfrm>
    </dsp:sp>
    <dsp:sp modelId="{8144CDC6-4F3C-41DC-9452-2518A05AD26D}">
      <dsp:nvSpPr>
        <dsp:cNvPr id="0" name=""/>
        <dsp:cNvSpPr/>
      </dsp:nvSpPr>
      <dsp:spPr>
        <a:xfrm>
          <a:off x="0" y="662026"/>
          <a:ext cx="1438351" cy="630237"/>
        </a:xfrm>
        <a:prstGeom prst="round2SameRect">
          <a:avLst>
            <a:gd name="adj1" fmla="val 16670"/>
            <a:gd name="adj2" fmla="val 0"/>
          </a:avLst>
        </a:prstGeom>
        <a:solidFill>
          <a:schemeClr val="accent2">
            <a:hueOff val="-291073"/>
            <a:satOff val="-16786"/>
            <a:lumOff val="1726"/>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Sharing</a:t>
          </a:r>
        </a:p>
      </dsp:txBody>
      <dsp:txXfrm>
        <a:off x="30771" y="692797"/>
        <a:ext cx="1376809" cy="599466"/>
      </dsp:txXfrm>
    </dsp:sp>
    <dsp:sp modelId="{6D9140B6-775F-4F04-99C2-FA4399F498C8}">
      <dsp:nvSpPr>
        <dsp:cNvPr id="0" name=""/>
        <dsp:cNvSpPr/>
      </dsp:nvSpPr>
      <dsp:spPr>
        <a:xfrm>
          <a:off x="1438351" y="1323776"/>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There are multiple Video Recording Systems; all stream to a secure server. Any recordings relevant to an investigation are stored in either the digital evidence management system or on a phyiscal disk given to the Evidence Unit</a:t>
          </a:r>
        </a:p>
      </dsp:txBody>
      <dsp:txXfrm>
        <a:off x="1438351" y="1323776"/>
        <a:ext cx="4093768" cy="630237"/>
      </dsp:txXfrm>
    </dsp:sp>
    <dsp:sp modelId="{FF32674F-E598-48AC-B99B-BDE63FD8B24A}">
      <dsp:nvSpPr>
        <dsp:cNvPr id="0" name=""/>
        <dsp:cNvSpPr/>
      </dsp:nvSpPr>
      <dsp:spPr>
        <a:xfrm>
          <a:off x="0" y="1323776"/>
          <a:ext cx="1438351" cy="630237"/>
        </a:xfrm>
        <a:prstGeom prst="round2SameRect">
          <a:avLst>
            <a:gd name="adj1" fmla="val 16670"/>
            <a:gd name="adj2" fmla="val 0"/>
          </a:avLst>
        </a:prstGeom>
        <a:solidFill>
          <a:schemeClr val="accent2">
            <a:hueOff val="-582145"/>
            <a:satOff val="-33571"/>
            <a:lumOff val="3451"/>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Data Security</a:t>
          </a:r>
        </a:p>
      </dsp:txBody>
      <dsp:txXfrm>
        <a:off x="30771" y="1354547"/>
        <a:ext cx="1376809" cy="599466"/>
      </dsp:txXfrm>
    </dsp:sp>
    <dsp:sp modelId="{9BC05ACE-9DE8-43BC-B33A-A9532941BCB7}">
      <dsp:nvSpPr>
        <dsp:cNvPr id="0" name=""/>
        <dsp:cNvSpPr/>
      </dsp:nvSpPr>
      <dsp:spPr>
        <a:xfrm>
          <a:off x="1438351" y="19855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Pursuant to RCW 9.73, cameras for all Video Recording Systems are conspicuous and signs near the camera provide notice of audio/video recording. Whenever officers enter the room or area, they also verbally notify subjects of the ongoing audio/video recording</a:t>
          </a:r>
        </a:p>
      </dsp:txBody>
      <dsp:txXfrm>
        <a:off x="1438351" y="1985525"/>
        <a:ext cx="4093768" cy="630237"/>
      </dsp:txXfrm>
    </dsp:sp>
    <dsp:sp modelId="{2886039F-E8A6-4A2D-BB42-7A808541B204}">
      <dsp:nvSpPr>
        <dsp:cNvPr id="0" name=""/>
        <dsp:cNvSpPr/>
      </dsp:nvSpPr>
      <dsp:spPr>
        <a:xfrm>
          <a:off x="0" y="1985525"/>
          <a:ext cx="1438351" cy="630237"/>
        </a:xfrm>
        <a:prstGeom prst="round2SameRect">
          <a:avLst>
            <a:gd name="adj1" fmla="val 16670"/>
            <a:gd name="adj2" fmla="val 0"/>
          </a:avLst>
        </a:prstGeom>
        <a:solidFill>
          <a:schemeClr val="accent2">
            <a:hueOff val="-873218"/>
            <a:satOff val="-50357"/>
            <a:lumOff val="5177"/>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Potentail Civil Liberties Impacts</a:t>
          </a:r>
        </a:p>
      </dsp:txBody>
      <dsp:txXfrm>
        <a:off x="30771" y="2016296"/>
        <a:ext cx="1376809" cy="599466"/>
      </dsp:txXfrm>
    </dsp:sp>
    <dsp:sp modelId="{45B0443E-C208-4986-B3E4-D207E34FA00E}">
      <dsp:nvSpPr>
        <dsp:cNvPr id="0" name=""/>
        <dsp:cNvSpPr/>
      </dsp:nvSpPr>
      <dsp:spPr>
        <a:xfrm>
          <a:off x="1438351" y="264727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No new assessments, registered community concerns, or OPA complaints</a:t>
          </a:r>
        </a:p>
      </dsp:txBody>
      <dsp:txXfrm>
        <a:off x="1438351" y="2647275"/>
        <a:ext cx="4093768" cy="630237"/>
      </dsp:txXfrm>
    </dsp:sp>
    <dsp:sp modelId="{B1AD2CF6-1DFA-4E2E-B7FB-5DA34585F018}">
      <dsp:nvSpPr>
        <dsp:cNvPr id="0" name=""/>
        <dsp:cNvSpPr/>
      </dsp:nvSpPr>
      <dsp:spPr>
        <a:xfrm>
          <a:off x="0" y="2647275"/>
          <a:ext cx="1438351" cy="630237"/>
        </a:xfrm>
        <a:prstGeom prst="round2SameRect">
          <a:avLst>
            <a:gd name="adj1" fmla="val 16670"/>
            <a:gd name="adj2" fmla="val 0"/>
          </a:avLst>
        </a:prstGeom>
        <a:solidFill>
          <a:schemeClr val="accent2">
            <a:hueOff val="-1164290"/>
            <a:satOff val="-67142"/>
            <a:lumOff val="6902"/>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Internal Assessments</a:t>
          </a:r>
        </a:p>
      </dsp:txBody>
      <dsp:txXfrm>
        <a:off x="30771" y="2678046"/>
        <a:ext cx="1376809" cy="599466"/>
      </dsp:txXfrm>
    </dsp:sp>
    <dsp:sp modelId="{F13CE2CE-AFDE-4007-8CAD-C0C730D7AB06}">
      <dsp:nvSpPr>
        <dsp:cNvPr id="0" name=""/>
        <dsp:cNvSpPr/>
      </dsp:nvSpPr>
      <dsp:spPr>
        <a:xfrm>
          <a:off x="1438351" y="3309025"/>
          <a:ext cx="4093768" cy="630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b"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No significant changes from the 2022 annual costs approximately $57,000</a:t>
          </a:r>
        </a:p>
      </dsp:txBody>
      <dsp:txXfrm>
        <a:off x="1438351" y="3309025"/>
        <a:ext cx="4093768" cy="630237"/>
      </dsp:txXfrm>
    </dsp:sp>
    <dsp:sp modelId="{68498810-EC2D-4F8E-AAAB-303D5B9A6E4A}">
      <dsp:nvSpPr>
        <dsp:cNvPr id="0" name=""/>
        <dsp:cNvSpPr/>
      </dsp:nvSpPr>
      <dsp:spPr>
        <a:xfrm>
          <a:off x="0" y="3309025"/>
          <a:ext cx="1438351" cy="630237"/>
        </a:xfrm>
        <a:prstGeom prst="round2SameRect">
          <a:avLst>
            <a:gd name="adj1" fmla="val 16670"/>
            <a:gd name="adj2" fmla="val 0"/>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Costs</a:t>
          </a:r>
        </a:p>
      </dsp:txBody>
      <dsp:txXfrm>
        <a:off x="30771" y="3339796"/>
        <a:ext cx="1376809" cy="599466"/>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6347A2D13DA4A994D74D35165A3A2" ma:contentTypeVersion="29" ma:contentTypeDescription="Create a new document." ma:contentTypeScope="" ma:versionID="0d0327835a68147e17b0d981d8e88e14">
  <xsd:schema xmlns:xsd="http://www.w3.org/2001/XMLSchema" xmlns:xs="http://www.w3.org/2001/XMLSchema" xmlns:p="http://schemas.microsoft.com/office/2006/metadata/properties" xmlns:ns2="788510d6-6261-4655-85e5-d2d9e62de4f3" xmlns:ns3="9095a42b-6473-4b74-946f-5a72c1f5d4ab" targetNamespace="http://schemas.microsoft.com/office/2006/metadata/properties" ma:root="true" ma:fieldsID="ddb279db8c41f9b17518611f1057d787" ns2:_="" ns3:_="">
    <xsd:import namespace="788510d6-6261-4655-85e5-d2d9e62de4f3"/>
    <xsd:import namespace="9095a42b-6473-4b74-946f-5a72c1f5d4ab"/>
    <xsd:element name="properties">
      <xsd:complexType>
        <xsd:sequence>
          <xsd:element name="documentManagement">
            <xsd:complexType>
              <xsd:all>
                <xsd:element ref="ns2:Source" minOccurs="0"/>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510d6-6261-4655-85e5-d2d9e62de4f3" elementFormDefault="qualified">
    <xsd:import namespace="http://schemas.microsoft.com/office/2006/documentManagement/types"/>
    <xsd:import namespace="http://schemas.microsoft.com/office/infopath/2007/PartnerControls"/>
    <xsd:element name="Source" ma:index="8" nillable="true" ma:displayName="Source" ma:description="Link to source document." ma:internalName="Source" ma:readOnly="false">
      <xsd:simpleType>
        <xsd:restriction base="dms:Text">
          <xsd:maxLength value="255"/>
        </xsd:restriction>
      </xsd:simpleType>
    </xsd:element>
    <xsd:element name="Notes" ma:index="9" nillable="true" ma:displayName="Notes" ma:description="Brief notes and comments on file." ma:internalName="Notes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5a42b-6473-4b74-946f-5a72c1f5d4a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199602-cf4b-44bc-a4a3-23a5c2257f3e}" ma:internalName="TaxCatchAll" ma:showField="CatchAllData" ma:web="9095a42b-6473-4b74-946f-5a72c1f5d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8510d6-6261-4655-85e5-d2d9e62de4f3">
      <Terms xmlns="http://schemas.microsoft.com/office/infopath/2007/PartnerControls"/>
    </lcf76f155ced4ddcb4097134ff3c332f>
    <TaxCatchAll xmlns="9095a42b-6473-4b74-946f-5a72c1f5d4ab" xsi:nil="true"/>
    <Source xmlns="788510d6-6261-4655-85e5-d2d9e62de4f3" xsi:nil="true"/>
    <Notes xmlns="788510d6-6261-4655-85e5-d2d9e62de4f3" xsi:nil="true"/>
  </documentManagement>
</p:properties>
</file>

<file path=customXml/itemProps1.xml><?xml version="1.0" encoding="utf-8"?>
<ds:datastoreItem xmlns:ds="http://schemas.openxmlformats.org/officeDocument/2006/customXml" ds:itemID="{2B32772E-C1BB-4956-9AEB-3F193D780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510d6-6261-4655-85e5-d2d9e62de4f3"/>
    <ds:schemaRef ds:uri="9095a42b-6473-4b74-946f-5a72c1f5d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A7DAA-2D23-42D8-9E6D-6A71ABAFB7E1}">
  <ds:schemaRefs>
    <ds:schemaRef ds:uri="http://schemas.microsoft.com/sharepoint/v3/contenttype/forms"/>
  </ds:schemaRefs>
</ds:datastoreItem>
</file>

<file path=customXml/itemProps3.xml><?xml version="1.0" encoding="utf-8"?>
<ds:datastoreItem xmlns:ds="http://schemas.openxmlformats.org/officeDocument/2006/customXml" ds:itemID="{263BE17D-DE08-4E2E-AC19-721952CCC271}">
  <ds:schemaRefs>
    <ds:schemaRef ds:uri="http://schemas.microsoft.com/office/2006/metadata/properties"/>
    <ds:schemaRef ds:uri="http://schemas.microsoft.com/office/infopath/2007/PartnerControls"/>
    <ds:schemaRef ds:uri="788510d6-6261-4655-85e5-d2d9e62de4f3"/>
    <ds:schemaRef ds:uri="9095a42b-6473-4b74-946f-5a72c1f5d4ab"/>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Emily</dc:creator>
  <cp:keywords/>
  <dc:description/>
  <cp:lastModifiedBy>Morley, Emily</cp:lastModifiedBy>
  <cp:revision>52</cp:revision>
  <dcterms:created xsi:type="dcterms:W3CDTF">2024-12-10T22:01:00Z</dcterms:created>
  <dcterms:modified xsi:type="dcterms:W3CDTF">2024-12-10T22:16:00Z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0x0101001EA6347A2D13DA4A994D74D35165A3A2</vt:lpwstr>
  </property>
  <property fmtid="{D5CDD505-2E9C-101B-9397-08002B2CF9AE}" pid="3" name="MediaServiceImageTags">
    <vt:lpwstr/>
  </property>
</Properties>
</file>